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CD532" w14:textId="348B05A3" w:rsidR="00497473" w:rsidRDefault="00497473" w:rsidP="00BE65B8">
      <w:pPr>
        <w:pStyle w:val="BodyAA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  <w:noProof/>
          <w:lang w:eastAsia="ko-KR"/>
        </w:rPr>
        <w:drawing>
          <wp:anchor distT="0" distB="0" distL="114300" distR="114300" simplePos="0" relativeHeight="251658240" behindDoc="0" locked="0" layoutInCell="1" allowOverlap="1" wp14:anchorId="627FF528" wp14:editId="665EA0CF">
            <wp:simplePos x="0" y="0"/>
            <wp:positionH relativeFrom="column">
              <wp:posOffset>3702050</wp:posOffset>
            </wp:positionH>
            <wp:positionV relativeFrom="paragraph">
              <wp:posOffset>-548640</wp:posOffset>
            </wp:positionV>
            <wp:extent cx="2742565" cy="6762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A-Logo_RGB 2 inch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C25791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2E5FA248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6D28EB5E" w14:textId="093ED8FF" w:rsidR="00694DD5" w:rsidRDefault="00694DD5" w:rsidP="00694DD5">
      <w:pPr>
        <w:pStyle w:val="BodyAA"/>
        <w:rPr>
          <w:rFonts w:ascii="Calibri" w:hAnsi="Calibri" w:cs="Calibri"/>
          <w:b/>
          <w:sz w:val="24"/>
          <w:lang w:val="es-MX"/>
        </w:rPr>
      </w:pPr>
      <w:r w:rsidRPr="00AC5FD7">
        <w:rPr>
          <w:rFonts w:ascii="Calibri" w:hAnsi="Calibri" w:cs="Calibri"/>
          <w:b/>
          <w:sz w:val="24"/>
          <w:lang w:val="es-MX"/>
        </w:rPr>
        <w:t>Rendición de cuentas adaptada a la niñez: Caja d</w:t>
      </w:r>
      <w:r>
        <w:rPr>
          <w:rFonts w:ascii="Calibri" w:hAnsi="Calibri" w:cs="Calibri"/>
          <w:b/>
          <w:sz w:val="24"/>
          <w:lang w:val="es-MX"/>
        </w:rPr>
        <w:t>e herramientas – Módulo 1, p. 12</w:t>
      </w:r>
    </w:p>
    <w:p w14:paraId="77954736" w14:textId="77777777" w:rsidR="00497473" w:rsidRPr="00694DD5" w:rsidRDefault="00497473" w:rsidP="00BE65B8">
      <w:pPr>
        <w:pStyle w:val="BodyAA"/>
        <w:rPr>
          <w:rFonts w:ascii="Calibri" w:hAnsi="Calibri" w:cs="Calibri"/>
          <w:b/>
          <w:lang w:val="es-MX"/>
        </w:rPr>
      </w:pPr>
    </w:p>
    <w:p w14:paraId="0B7DD0F8" w14:textId="77777777" w:rsidR="00D32070" w:rsidRPr="00694DD5" w:rsidRDefault="00D32070" w:rsidP="00D32070">
      <w:pPr>
        <w:pStyle w:val="BodyAA"/>
        <w:rPr>
          <w:rFonts w:ascii="Calibri" w:hAnsi="Calibri" w:cs="Calibri"/>
          <w:b/>
          <w:sz w:val="32"/>
          <w:lang w:val="es-MX"/>
        </w:rPr>
      </w:pPr>
      <w:r w:rsidRPr="00694DD5">
        <w:rPr>
          <w:rFonts w:ascii="Calibri" w:eastAsia="Calibri" w:hAnsi="Calibri" w:cs="Calibri"/>
          <w:b/>
          <w:bCs/>
          <w:sz w:val="32"/>
          <w:lang w:val="es-ES"/>
        </w:rPr>
        <w:t>Plantilla modelo de informe de evaluación de contexto</w:t>
      </w:r>
    </w:p>
    <w:p w14:paraId="32541D18" w14:textId="43C22E7A" w:rsidR="00BE65B8" w:rsidRPr="00D32070" w:rsidRDefault="00BE65B8" w:rsidP="00BE65B8">
      <w:pPr>
        <w:pStyle w:val="BodyAA"/>
        <w:rPr>
          <w:rFonts w:ascii="Calibri" w:hAnsi="Calibri" w:cs="Calibri"/>
          <w:b/>
          <w:lang w:val="es-MX"/>
        </w:rPr>
      </w:pPr>
    </w:p>
    <w:p w14:paraId="5FECE3E1" w14:textId="77777777" w:rsidR="00BE65B8" w:rsidRPr="00D32070" w:rsidRDefault="00BE65B8" w:rsidP="00BE65B8">
      <w:pPr>
        <w:pStyle w:val="BodyAA"/>
        <w:rPr>
          <w:rFonts w:ascii="Calibri" w:hAnsi="Calibri" w:cs="Calibri"/>
          <w:lang w:val="es-MX"/>
        </w:rPr>
      </w:pPr>
    </w:p>
    <w:tbl>
      <w:tblPr>
        <w:tblW w:w="678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781"/>
      </w:tblGrid>
      <w:tr w:rsidR="00694DD5" w:rsidRPr="00AE4EE0" w14:paraId="7864EDB3" w14:textId="77777777" w:rsidTr="00036771">
        <w:trPr>
          <w:trHeight w:val="188"/>
        </w:trPr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F177E" w14:textId="5F60DC88" w:rsidR="00694DD5" w:rsidRPr="0064033B" w:rsidRDefault="00694DD5" w:rsidP="00694DD5">
            <w:pPr>
              <w:pStyle w:val="BodyAAA"/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Resumen ejecutivo</w:t>
            </w:r>
          </w:p>
        </w:tc>
      </w:tr>
      <w:tr w:rsidR="00694DD5" w:rsidRPr="00AE4EE0" w14:paraId="3CDA5ED8" w14:textId="77777777" w:rsidTr="00036771">
        <w:trPr>
          <w:trHeight w:val="193"/>
        </w:trPr>
        <w:tc>
          <w:tcPr>
            <w:tcW w:w="6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FDD51" w14:textId="7303B846" w:rsidR="00694DD5" w:rsidRPr="0064033B" w:rsidRDefault="00694DD5" w:rsidP="00694DD5">
            <w:pPr>
              <w:pStyle w:val="BodyAAA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Introducción</w:t>
            </w:r>
          </w:p>
        </w:tc>
      </w:tr>
      <w:tr w:rsidR="00694DD5" w:rsidRPr="00AE4EE0" w14:paraId="4E099867" w14:textId="77777777" w:rsidTr="00036771">
        <w:trPr>
          <w:trHeight w:val="193"/>
        </w:trPr>
        <w:tc>
          <w:tcPr>
            <w:tcW w:w="6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545F5" w14:textId="42724B72" w:rsidR="00694DD5" w:rsidRPr="0064033B" w:rsidRDefault="00694DD5" w:rsidP="00694DD5">
            <w:pPr>
              <w:pStyle w:val="BodyAAA"/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II. Metodología</w:t>
            </w:r>
          </w:p>
        </w:tc>
      </w:tr>
      <w:tr w:rsidR="00694DD5" w:rsidRPr="00694DD5" w14:paraId="6960F93E" w14:textId="77777777" w:rsidTr="00036771">
        <w:trPr>
          <w:trHeight w:val="193"/>
        </w:trPr>
        <w:tc>
          <w:tcPr>
            <w:tcW w:w="6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87D6F" w14:textId="6886858B" w:rsidR="00694DD5" w:rsidRPr="00694DD5" w:rsidRDefault="00694DD5" w:rsidP="00694DD5">
            <w:pPr>
              <w:pStyle w:val="BodyAAA"/>
              <w:rPr>
                <w:rFonts w:ascii="Calibri" w:hAnsi="Calibri" w:cs="Calibri"/>
                <w:sz w:val="20"/>
                <w:lang w:val="es-MX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III. Marco de referencia normativo respecto a la violencia y la protección</w:t>
            </w:r>
          </w:p>
        </w:tc>
      </w:tr>
      <w:tr w:rsidR="00694DD5" w:rsidRPr="00694DD5" w14:paraId="5A25578C" w14:textId="77777777" w:rsidTr="00036771">
        <w:trPr>
          <w:trHeight w:val="193"/>
        </w:trPr>
        <w:tc>
          <w:tcPr>
            <w:tcW w:w="6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6AB45" w14:textId="14244A78" w:rsidR="00694DD5" w:rsidRPr="00694DD5" w:rsidRDefault="00694DD5" w:rsidP="00694DD5">
            <w:pPr>
              <w:pStyle w:val="BodyAAA"/>
              <w:rPr>
                <w:rFonts w:ascii="Calibri" w:hAnsi="Calibri" w:cs="Calibri"/>
                <w:sz w:val="20"/>
                <w:lang w:val="es-MX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IV. Prevalencia y tipo de violencia</w:t>
            </w:r>
          </w:p>
        </w:tc>
      </w:tr>
      <w:tr w:rsidR="00694DD5" w:rsidRPr="00694DD5" w14:paraId="3F44C2E1" w14:textId="77777777" w:rsidTr="00036771">
        <w:trPr>
          <w:trHeight w:val="193"/>
        </w:trPr>
        <w:tc>
          <w:tcPr>
            <w:tcW w:w="6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C7BC3" w14:textId="5340FD5E" w:rsidR="00694DD5" w:rsidRPr="00694DD5" w:rsidRDefault="00694DD5" w:rsidP="00694DD5">
            <w:pPr>
              <w:pStyle w:val="BodyAAA"/>
              <w:rPr>
                <w:rFonts w:ascii="Calibri" w:hAnsi="Calibri" w:cs="Calibri"/>
                <w:sz w:val="20"/>
                <w:lang w:val="es-MX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V. Mecanismos que previenen, detectan y responden a la violencia</w:t>
            </w:r>
          </w:p>
        </w:tc>
      </w:tr>
      <w:tr w:rsidR="00694DD5" w:rsidRPr="00694DD5" w14:paraId="1106B2BF" w14:textId="77777777" w:rsidTr="00036771">
        <w:trPr>
          <w:trHeight w:val="193"/>
        </w:trPr>
        <w:tc>
          <w:tcPr>
            <w:tcW w:w="6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BF4FFD0" w14:textId="0FC3ADE5" w:rsidR="00694DD5" w:rsidRPr="00694DD5" w:rsidRDefault="00694DD5" w:rsidP="00694DD5">
            <w:pPr>
              <w:pStyle w:val="BodyAAA"/>
              <w:ind w:left="360"/>
              <w:rPr>
                <w:rFonts w:ascii="Calibri" w:hAnsi="Calibri" w:cs="Calibri"/>
                <w:sz w:val="20"/>
                <w:lang w:val="es-MX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A. Sistema formal de protección infantil</w:t>
            </w:r>
          </w:p>
        </w:tc>
      </w:tr>
      <w:tr w:rsidR="00694DD5" w:rsidRPr="00694DD5" w14:paraId="3830E5A8" w14:textId="77777777" w:rsidTr="00036771">
        <w:trPr>
          <w:trHeight w:val="193"/>
        </w:trPr>
        <w:tc>
          <w:tcPr>
            <w:tcW w:w="6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903F73E" w14:textId="61B5A934" w:rsidR="00694DD5" w:rsidRPr="00694DD5" w:rsidRDefault="00694DD5" w:rsidP="00694DD5">
            <w:pPr>
              <w:pStyle w:val="BodyAAA"/>
              <w:ind w:left="360"/>
              <w:rPr>
                <w:rFonts w:ascii="Calibri" w:hAnsi="Calibri" w:cs="Calibri"/>
                <w:sz w:val="20"/>
                <w:lang w:val="es-MX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B. Sistema informal de protección infantil</w:t>
            </w:r>
          </w:p>
        </w:tc>
      </w:tr>
      <w:tr w:rsidR="00694DD5" w:rsidRPr="00694DD5" w14:paraId="2F9954B6" w14:textId="77777777" w:rsidTr="00036771">
        <w:trPr>
          <w:trHeight w:val="193"/>
        </w:trPr>
        <w:tc>
          <w:tcPr>
            <w:tcW w:w="6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73998" w14:textId="7094C383" w:rsidR="00694DD5" w:rsidRPr="00694DD5" w:rsidRDefault="00694DD5" w:rsidP="00694DD5">
            <w:pPr>
              <w:pStyle w:val="BodyAAA"/>
              <w:rPr>
                <w:rFonts w:ascii="Calibri" w:hAnsi="Calibri" w:cs="Calibri"/>
                <w:sz w:val="20"/>
                <w:lang w:val="es-MX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VI. Percepciones locales de la violencia y la protección</w:t>
            </w:r>
          </w:p>
        </w:tc>
      </w:tr>
      <w:tr w:rsidR="00694DD5" w:rsidRPr="00694DD5" w14:paraId="28FFBF9F" w14:textId="77777777" w:rsidTr="00036771">
        <w:trPr>
          <w:trHeight w:val="193"/>
        </w:trPr>
        <w:tc>
          <w:tcPr>
            <w:tcW w:w="6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28539173" w14:textId="048A4BAB" w:rsidR="00694DD5" w:rsidRPr="00694DD5" w:rsidRDefault="00694DD5" w:rsidP="00694DD5">
            <w:pPr>
              <w:pStyle w:val="BodyAAA"/>
              <w:ind w:left="360"/>
              <w:rPr>
                <w:rFonts w:ascii="Calibri" w:hAnsi="Calibri" w:cs="Calibri"/>
                <w:sz w:val="20"/>
                <w:lang w:val="es-MX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A. Miembros de la comunidad</w:t>
            </w:r>
          </w:p>
        </w:tc>
      </w:tr>
      <w:tr w:rsidR="00694DD5" w:rsidRPr="00AE4EE0" w14:paraId="6834754D" w14:textId="77777777" w:rsidTr="00036771">
        <w:trPr>
          <w:trHeight w:val="193"/>
        </w:trPr>
        <w:tc>
          <w:tcPr>
            <w:tcW w:w="6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666FE3E" w14:textId="475E68DE" w:rsidR="00694DD5" w:rsidRPr="0064033B" w:rsidRDefault="00694DD5" w:rsidP="00694DD5">
            <w:pPr>
              <w:pStyle w:val="BodyAAA"/>
              <w:ind w:left="360"/>
              <w:rPr>
                <w:rFonts w:ascii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B. Niños y niñas </w:t>
            </w:r>
          </w:p>
        </w:tc>
      </w:tr>
      <w:tr w:rsidR="00694DD5" w:rsidRPr="00694DD5" w14:paraId="6A10FCCC" w14:textId="77777777" w:rsidTr="00036771">
        <w:trPr>
          <w:trHeight w:val="193"/>
        </w:trPr>
        <w:tc>
          <w:tcPr>
            <w:tcW w:w="6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4F0A7" w14:textId="25509133" w:rsidR="00694DD5" w:rsidRPr="00694DD5" w:rsidRDefault="00694DD5" w:rsidP="00694DD5">
            <w:pPr>
              <w:pStyle w:val="BodyAAA"/>
              <w:rPr>
                <w:rFonts w:ascii="Calibri" w:hAnsi="Calibri" w:cs="Calibri"/>
                <w:sz w:val="20"/>
                <w:lang w:val="es-MX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VII. Normas y prácticas socioculturales que promueven violencia y protección</w:t>
            </w:r>
          </w:p>
        </w:tc>
      </w:tr>
      <w:tr w:rsidR="00694DD5" w:rsidRPr="00694DD5" w14:paraId="4711B3B3" w14:textId="77777777" w:rsidTr="00036771">
        <w:trPr>
          <w:trHeight w:val="188"/>
        </w:trPr>
        <w:tc>
          <w:tcPr>
            <w:tcW w:w="6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F1EEA" w14:textId="4B47070E" w:rsidR="00694DD5" w:rsidRPr="00694DD5" w:rsidRDefault="00694DD5" w:rsidP="00694DD5">
            <w:pPr>
              <w:pStyle w:val="BodyAAA"/>
              <w:rPr>
                <w:rFonts w:ascii="Calibri" w:hAnsi="Calibri" w:cs="Calibri"/>
                <w:sz w:val="20"/>
                <w:lang w:val="es-MX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VIII. Lista de partes interesadas esenciales</w:t>
            </w:r>
          </w:p>
        </w:tc>
      </w:tr>
    </w:tbl>
    <w:p w14:paraId="0D27B8D1" w14:textId="77777777" w:rsidR="00BE65B8" w:rsidRPr="00694DD5" w:rsidRDefault="00BE65B8" w:rsidP="00BE65B8">
      <w:pPr>
        <w:pStyle w:val="BodyAA"/>
        <w:rPr>
          <w:rFonts w:ascii="Calibri" w:hAnsi="Calibri" w:cs="Calibri"/>
          <w:lang w:val="es-MX"/>
        </w:rPr>
      </w:pPr>
    </w:p>
    <w:p w14:paraId="47E9D4C9" w14:textId="77777777" w:rsidR="006D1D16" w:rsidRPr="00694DD5" w:rsidRDefault="006D1D16">
      <w:pPr>
        <w:rPr>
          <w:lang w:val="es-MX"/>
        </w:rPr>
      </w:pPr>
    </w:p>
    <w:sectPr w:rsidR="006D1D16" w:rsidRPr="00694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02DA"/>
    <w:multiLevelType w:val="hybridMultilevel"/>
    <w:tmpl w:val="3D6E0000"/>
    <w:lvl w:ilvl="0" w:tplc="5448D258">
      <w:start w:val="1"/>
      <w:numFmt w:val="upperRoman"/>
      <w:suff w:val="nothing"/>
      <w:lvlText w:val="%1."/>
      <w:lvlJc w:val="left"/>
      <w:pPr>
        <w:ind w:left="80" w:hanging="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68239E">
      <w:start w:val="1"/>
      <w:numFmt w:val="upperLetter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22BB2C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C0E4A8">
      <w:start w:val="1"/>
      <w:numFmt w:val="lowerLetter"/>
      <w:lvlText w:val="%4)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8A488A">
      <w:start w:val="1"/>
      <w:numFmt w:val="decimal"/>
      <w:lvlText w:val="(%5)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488176">
      <w:start w:val="1"/>
      <w:numFmt w:val="lowerLetter"/>
      <w:lvlText w:val="(%6)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748366">
      <w:start w:val="1"/>
      <w:numFmt w:val="lowerRoman"/>
      <w:lvlText w:val="%7)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CE423A">
      <w:start w:val="1"/>
      <w:numFmt w:val="decimal"/>
      <w:lvlText w:val="(%8)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862A3E">
      <w:start w:val="1"/>
      <w:numFmt w:val="lowerLetter"/>
      <w:lvlText w:val="(%9)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B8"/>
    <w:rsid w:val="00497473"/>
    <w:rsid w:val="0050167C"/>
    <w:rsid w:val="00694DD5"/>
    <w:rsid w:val="006D1D16"/>
    <w:rsid w:val="00BE65B8"/>
    <w:rsid w:val="00D3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A837"/>
  <w15:chartTrackingRefBased/>
  <w15:docId w15:val="{3426C96F-1A6A-4104-B5A5-86FA28D2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167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="Calibri" w:eastAsiaTheme="majorEastAsia" w:hAnsi="Calibri" w:cstheme="majorBidi"/>
      <w:b/>
      <w:color w:val="007A45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67C"/>
    <w:rPr>
      <w:rFonts w:ascii="Calibri" w:eastAsiaTheme="majorEastAsia" w:hAnsi="Calibri" w:cstheme="majorBidi"/>
      <w:b/>
      <w:color w:val="007A45"/>
      <w:sz w:val="32"/>
      <w:szCs w:val="32"/>
      <w:lang w:eastAsia="en-US"/>
    </w:rPr>
  </w:style>
  <w:style w:type="paragraph" w:customStyle="1" w:styleId="BodyAA">
    <w:name w:val="Body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BodyAAA">
    <w:name w:val="Body A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585</Characters>
  <Application>Microsoft Office Word</Application>
  <DocSecurity>0</DocSecurity>
  <Lines>39</Lines>
  <Paragraphs>27</Paragraphs>
  <ScaleCrop>false</ScaleCrop>
  <Company>Microsoft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Quick</dc:creator>
  <cp:keywords/>
  <dc:description/>
  <cp:lastModifiedBy>Diana Quick</cp:lastModifiedBy>
  <cp:revision>3</cp:revision>
  <dcterms:created xsi:type="dcterms:W3CDTF">2018-08-09T15:27:00Z</dcterms:created>
  <dcterms:modified xsi:type="dcterms:W3CDTF">2018-08-09T15:28:00Z</dcterms:modified>
</cp:coreProperties>
</file>