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580" w:type="dxa"/>
        <w:tblLayout w:type="fixed"/>
        <w:tblLook w:val="01E0" w:firstRow="1" w:lastRow="1" w:firstColumn="1" w:lastColumn="1" w:noHBand="0" w:noVBand="0"/>
      </w:tblPr>
      <w:tblGrid>
        <w:gridCol w:w="959"/>
        <w:gridCol w:w="2377"/>
        <w:gridCol w:w="4002"/>
        <w:gridCol w:w="1588"/>
        <w:gridCol w:w="3827"/>
        <w:gridCol w:w="3827"/>
      </w:tblGrid>
      <w:tr w:rsidR="00A53059" w:rsidRPr="00052F64" w:rsidTr="00A53059">
        <w:trPr>
          <w:trHeight w:val="688"/>
        </w:trPr>
        <w:tc>
          <w:tcPr>
            <w:tcW w:w="959" w:type="dxa"/>
          </w:tcPr>
          <w:p w:rsidR="00A53059" w:rsidRPr="00052F64" w:rsidRDefault="00A53059" w:rsidP="006373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Serial</w:t>
            </w:r>
          </w:p>
        </w:tc>
        <w:tc>
          <w:tcPr>
            <w:tcW w:w="2377" w:type="dxa"/>
            <w:vAlign w:val="center"/>
          </w:tcPr>
          <w:p w:rsidR="00A53059" w:rsidRPr="00052F64" w:rsidRDefault="00A53059" w:rsidP="006373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Linkage Plan/ Policy</w:t>
            </w:r>
          </w:p>
        </w:tc>
        <w:tc>
          <w:tcPr>
            <w:tcW w:w="4002" w:type="dxa"/>
            <w:vAlign w:val="center"/>
          </w:tcPr>
          <w:p w:rsidR="00A53059" w:rsidRPr="00052F64" w:rsidRDefault="00A53059" w:rsidP="00052F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F64">
              <w:rPr>
                <w:rFonts w:asciiTheme="minorHAnsi" w:hAnsiTheme="minorHAnsi" w:cstheme="minorHAnsi"/>
                <w:b/>
                <w:sz w:val="20"/>
                <w:szCs w:val="20"/>
              </w:rPr>
              <w:t>Financial Risks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vAlign w:val="center"/>
          </w:tcPr>
          <w:p w:rsidR="00A53059" w:rsidRDefault="00A53059" w:rsidP="004538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Current Rating </w:t>
            </w:r>
          </w:p>
          <w:p w:rsidR="00A53059" w:rsidRPr="00D10B39" w:rsidRDefault="00A53059" w:rsidP="0045385E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(Likelihood and Consequences)</w:t>
            </w:r>
          </w:p>
        </w:tc>
        <w:tc>
          <w:tcPr>
            <w:tcW w:w="3827" w:type="dxa"/>
            <w:vAlign w:val="center"/>
          </w:tcPr>
          <w:p w:rsidR="00A53059" w:rsidRPr="00052F64" w:rsidRDefault="00A53059" w:rsidP="00052F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Mitigation Strategies</w:t>
            </w:r>
          </w:p>
        </w:tc>
        <w:tc>
          <w:tcPr>
            <w:tcW w:w="3827" w:type="dxa"/>
          </w:tcPr>
          <w:p w:rsidR="00A53059" w:rsidRDefault="00A53059" w:rsidP="00052F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:rsidR="00A53059" w:rsidRDefault="00A53059" w:rsidP="00052F64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Residual Risk Rating </w:t>
            </w:r>
          </w:p>
        </w:tc>
      </w:tr>
      <w:tr w:rsidR="00A53059" w:rsidRPr="00052F64" w:rsidTr="00A53059">
        <w:tc>
          <w:tcPr>
            <w:tcW w:w="959" w:type="dxa"/>
          </w:tcPr>
          <w:p w:rsidR="00A53059" w:rsidRPr="00052F64" w:rsidRDefault="00A53059" w:rsidP="000C51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77" w:type="dxa"/>
          </w:tcPr>
          <w:p w:rsidR="00A53059" w:rsidRPr="00052F64" w:rsidRDefault="00A53059" w:rsidP="000C515A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Strategic Plan 20</w:t>
            </w:r>
            <w:r>
              <w:rPr>
                <w:sz w:val="22"/>
                <w:szCs w:val="22"/>
              </w:rPr>
              <w:t>14</w:t>
            </w:r>
            <w:r w:rsidRPr="00052F64">
              <w:rPr>
                <w:sz w:val="22"/>
                <w:szCs w:val="22"/>
              </w:rPr>
              <w:t>-201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4002" w:type="dxa"/>
            <w:shd w:val="clear" w:color="auto" w:fill="auto"/>
          </w:tcPr>
          <w:p w:rsidR="00A53059" w:rsidRPr="00052F64" w:rsidRDefault="00A53059" w:rsidP="009E45B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Economic environment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A53059" w:rsidRPr="00D10B39" w:rsidRDefault="00A53059" w:rsidP="00B275CE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A53059" w:rsidRPr="00052F64" w:rsidRDefault="00A53059" w:rsidP="00B90B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ChildFund Ireland</w:t>
            </w:r>
            <w:r w:rsidRPr="00052F64">
              <w:rPr>
                <w:sz w:val="22"/>
                <w:szCs w:val="22"/>
              </w:rPr>
              <w:t xml:space="preserve"> continually monitors the level of activity, prepares and monitors its budgets targets and projections. </w:t>
            </w:r>
            <w:r>
              <w:rPr>
                <w:sz w:val="22"/>
                <w:szCs w:val="22"/>
              </w:rPr>
              <w:t>It also</w:t>
            </w:r>
            <w:r w:rsidRPr="00052F64">
              <w:rPr>
                <w:sz w:val="22"/>
                <w:szCs w:val="22"/>
              </w:rPr>
              <w:t xml:space="preserve"> has a policy of maintaining significant cash reserves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827" w:type="dxa"/>
          </w:tcPr>
          <w:p w:rsidR="00A53059" w:rsidRDefault="00A53059" w:rsidP="00B90BF5">
            <w:pPr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057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77" w:type="dxa"/>
          </w:tcPr>
          <w:p w:rsidR="00A53059" w:rsidRPr="00052F64" w:rsidRDefault="00A53059" w:rsidP="00057E38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Strategic Plan 2014-2018</w:t>
            </w:r>
          </w:p>
        </w:tc>
        <w:tc>
          <w:tcPr>
            <w:tcW w:w="4002" w:type="dxa"/>
          </w:tcPr>
          <w:p w:rsidR="00A53059" w:rsidRPr="00052F64" w:rsidRDefault="00A53059" w:rsidP="00146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Competitive sectoral e</w:t>
            </w:r>
            <w:r w:rsidRPr="00052F64">
              <w:rPr>
                <w:sz w:val="22"/>
                <w:szCs w:val="22"/>
              </w:rPr>
              <w:t>nvironment</w:t>
            </w:r>
            <w:r>
              <w:rPr>
                <w:sz w:val="22"/>
                <w:szCs w:val="22"/>
              </w:rPr>
              <w:t xml:space="preserve"> and challenges to secure new and additional funding.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A53059" w:rsidRPr="00D10B39" w:rsidRDefault="00A53059" w:rsidP="00637387">
            <w:pPr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A53059" w:rsidRPr="00052F64" w:rsidRDefault="00A53059" w:rsidP="00563B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Provide regular feedback to existing funding parties and stakeholders. Seek new funding sources and engage with Marketing sub-committee to seek new initiatives.</w:t>
            </w:r>
          </w:p>
        </w:tc>
        <w:tc>
          <w:tcPr>
            <w:tcW w:w="3827" w:type="dxa"/>
          </w:tcPr>
          <w:p w:rsidR="00A53059" w:rsidRDefault="00A53059" w:rsidP="00563BD5">
            <w:pPr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057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77" w:type="dxa"/>
          </w:tcPr>
          <w:p w:rsidR="00A53059" w:rsidRPr="00052F64" w:rsidRDefault="00A53059" w:rsidP="00057E38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Strategic Plan 2014-2018</w:t>
            </w:r>
          </w:p>
        </w:tc>
        <w:tc>
          <w:tcPr>
            <w:tcW w:w="4002" w:type="dxa"/>
          </w:tcPr>
          <w:p w:rsidR="00A53059" w:rsidRPr="00052F64" w:rsidRDefault="00A53059" w:rsidP="00146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Negative publicity in the sector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A53059" w:rsidRPr="00D10B39" w:rsidRDefault="00A53059" w:rsidP="006373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A53059" w:rsidRPr="00052F64" w:rsidRDefault="00A53059" w:rsidP="00C757E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high levels of governance, transparency and communications.</w:t>
            </w:r>
          </w:p>
        </w:tc>
        <w:tc>
          <w:tcPr>
            <w:tcW w:w="3827" w:type="dxa"/>
          </w:tcPr>
          <w:p w:rsidR="00A53059" w:rsidRDefault="00A53059" w:rsidP="00C757EB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057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77" w:type="dxa"/>
          </w:tcPr>
          <w:p w:rsidR="00A53059" w:rsidRPr="00052F64" w:rsidRDefault="00A53059" w:rsidP="00057E38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Strategic Plan 2014-2018</w:t>
            </w:r>
          </w:p>
        </w:tc>
        <w:tc>
          <w:tcPr>
            <w:tcW w:w="4002" w:type="dxa"/>
          </w:tcPr>
          <w:p w:rsidR="00A53059" w:rsidRPr="00052F64" w:rsidRDefault="00A53059" w:rsidP="001464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Negative publicity of charities generally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A53059" w:rsidRPr="00D10B39" w:rsidRDefault="00A53059" w:rsidP="006373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A53059" w:rsidRPr="00052F64" w:rsidRDefault="00A53059" w:rsidP="00241CC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Keep sponsors informed</w:t>
            </w:r>
          </w:p>
        </w:tc>
        <w:tc>
          <w:tcPr>
            <w:tcW w:w="3827" w:type="dxa"/>
          </w:tcPr>
          <w:p w:rsidR="00A53059" w:rsidRPr="00052F64" w:rsidRDefault="00A53059" w:rsidP="00241CC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057E3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77" w:type="dxa"/>
          </w:tcPr>
          <w:p w:rsidR="00A53059" w:rsidRPr="00052F64" w:rsidRDefault="00A53059" w:rsidP="00057E38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Exchange Rate Gains and Losses</w:t>
            </w:r>
            <w:r>
              <w:rPr>
                <w:sz w:val="22"/>
                <w:szCs w:val="22"/>
              </w:rPr>
              <w:t xml:space="preserve"> Policy</w:t>
            </w:r>
          </w:p>
        </w:tc>
        <w:tc>
          <w:tcPr>
            <w:tcW w:w="4002" w:type="dxa"/>
          </w:tcPr>
          <w:p w:rsidR="00A53059" w:rsidRPr="00052F64" w:rsidRDefault="00A53059" w:rsidP="007A62FD">
            <w:pPr>
              <w:autoSpaceDE w:val="0"/>
              <w:autoSpaceDN w:val="0"/>
              <w:adjustRightInd w:val="0"/>
              <w:jc w:val="both"/>
            </w:pPr>
            <w:r w:rsidRPr="00052F64">
              <w:rPr>
                <w:sz w:val="22"/>
                <w:szCs w:val="22"/>
              </w:rPr>
              <w:t>Exchange Rate Losses</w:t>
            </w:r>
          </w:p>
        </w:tc>
        <w:tc>
          <w:tcPr>
            <w:tcW w:w="1588" w:type="dxa"/>
            <w:shd w:val="clear" w:color="auto" w:fill="FFFF00"/>
            <w:vAlign w:val="center"/>
          </w:tcPr>
          <w:p w:rsidR="00A53059" w:rsidRPr="00D10B39" w:rsidRDefault="00A53059" w:rsidP="006373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A53059" w:rsidRPr="00052F64" w:rsidRDefault="00A53059" w:rsidP="000C5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allows subsuming</w:t>
            </w:r>
            <w:r w:rsidRPr="00052F64">
              <w:rPr>
                <w:sz w:val="22"/>
                <w:szCs w:val="22"/>
              </w:rPr>
              <w:t xml:space="preserve"> Gains and Losses</w:t>
            </w:r>
            <w:r>
              <w:rPr>
                <w:sz w:val="22"/>
                <w:szCs w:val="22"/>
              </w:rPr>
              <w:t xml:space="preserve"> alike</w:t>
            </w:r>
          </w:p>
        </w:tc>
        <w:tc>
          <w:tcPr>
            <w:tcW w:w="3827" w:type="dxa"/>
          </w:tcPr>
          <w:p w:rsidR="00A53059" w:rsidRDefault="00A53059" w:rsidP="000C515A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5B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77" w:type="dxa"/>
          </w:tcPr>
          <w:p w:rsidR="00A53059" w:rsidRPr="00052F64" w:rsidRDefault="00A53059" w:rsidP="005B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ChildFund Alliance Budgeting</w:t>
            </w:r>
          </w:p>
        </w:tc>
        <w:tc>
          <w:tcPr>
            <w:tcW w:w="4002" w:type="dxa"/>
          </w:tcPr>
          <w:p w:rsidR="00A53059" w:rsidRPr="00052F64" w:rsidRDefault="00A53059" w:rsidP="005B3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Increasing costs as part of Alliance membership</w:t>
            </w:r>
          </w:p>
        </w:tc>
        <w:tc>
          <w:tcPr>
            <w:tcW w:w="1588" w:type="dxa"/>
            <w:shd w:val="clear" w:color="auto" w:fill="00B050"/>
            <w:vAlign w:val="center"/>
          </w:tcPr>
          <w:p w:rsidR="00A53059" w:rsidRPr="00D10B39" w:rsidRDefault="00A53059" w:rsidP="005B3B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C50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Reviewed at Chil</w:t>
            </w:r>
            <w:r w:rsidR="00E736E7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Fund Alliance Board meetings annually</w:t>
            </w:r>
          </w:p>
        </w:tc>
        <w:tc>
          <w:tcPr>
            <w:tcW w:w="3827" w:type="dxa"/>
          </w:tcPr>
          <w:p w:rsidR="00A53059" w:rsidRDefault="00A53059" w:rsidP="00C501C7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Default="00A53059" w:rsidP="005B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77" w:type="dxa"/>
          </w:tcPr>
          <w:p w:rsidR="00A53059" w:rsidRDefault="00A53059" w:rsidP="005B3B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Irish Aid Funding</w:t>
            </w:r>
          </w:p>
          <w:p w:rsidR="00A53059" w:rsidRPr="00052F64" w:rsidRDefault="00A53059" w:rsidP="005B3B17">
            <w:pPr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A53059" w:rsidRPr="00052F64" w:rsidRDefault="00A53059" w:rsidP="005B3B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Reduced funding</w:t>
            </w:r>
          </w:p>
        </w:tc>
        <w:tc>
          <w:tcPr>
            <w:tcW w:w="1588" w:type="dxa"/>
            <w:shd w:val="clear" w:color="auto" w:fill="00B050"/>
            <w:vAlign w:val="center"/>
          </w:tcPr>
          <w:p w:rsidR="00A53059" w:rsidRPr="00D10B39" w:rsidRDefault="00A53059" w:rsidP="005B3B1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A53059" w:rsidRDefault="00A53059" w:rsidP="00C501C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Submission and Review</w:t>
            </w:r>
          </w:p>
        </w:tc>
        <w:tc>
          <w:tcPr>
            <w:tcW w:w="3827" w:type="dxa"/>
          </w:tcPr>
          <w:p w:rsidR="00A53059" w:rsidRDefault="00A53059" w:rsidP="00C501C7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45385E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45385E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Strategic Plan </w:t>
            </w:r>
          </w:p>
        </w:tc>
        <w:tc>
          <w:tcPr>
            <w:tcW w:w="4002" w:type="dxa"/>
          </w:tcPr>
          <w:p w:rsidR="00A53059" w:rsidRPr="00052F64" w:rsidRDefault="00A53059" w:rsidP="004A5B8A">
            <w:pPr>
              <w:rPr>
                <w:sz w:val="22"/>
                <w:szCs w:val="22"/>
              </w:rPr>
            </w:pPr>
            <w:r w:rsidRPr="00052F64">
              <w:t>Having only major implementing partner</w:t>
            </w:r>
          </w:p>
        </w:tc>
        <w:tc>
          <w:tcPr>
            <w:tcW w:w="1588" w:type="dxa"/>
            <w:shd w:val="clear" w:color="auto" w:fill="FFFF00"/>
          </w:tcPr>
          <w:p w:rsidR="00A53059" w:rsidRPr="00D10B39" w:rsidRDefault="00A53059" w:rsidP="000C144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A53059" w:rsidRPr="00052F64" w:rsidRDefault="00A53059" w:rsidP="00564CC6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Referred to</w:t>
            </w:r>
            <w:r>
              <w:rPr>
                <w:sz w:val="22"/>
                <w:szCs w:val="22"/>
              </w:rPr>
              <w:t xml:space="preserve"> in</w:t>
            </w:r>
            <w:r w:rsidRPr="00052F64">
              <w:rPr>
                <w:sz w:val="22"/>
                <w:szCs w:val="22"/>
              </w:rPr>
              <w:t xml:space="preserve"> Annual Report</w:t>
            </w:r>
          </w:p>
        </w:tc>
        <w:tc>
          <w:tcPr>
            <w:tcW w:w="3827" w:type="dxa"/>
          </w:tcPr>
          <w:p w:rsidR="00A53059" w:rsidRPr="00052F64" w:rsidRDefault="00A53059" w:rsidP="00564CC6">
            <w:pPr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E631B4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E631B4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Annual Reports</w:t>
            </w:r>
          </w:p>
          <w:p w:rsidR="00A53059" w:rsidRPr="00052F64" w:rsidRDefault="00A53059" w:rsidP="00057E38">
            <w:pPr>
              <w:rPr>
                <w:sz w:val="22"/>
                <w:szCs w:val="22"/>
              </w:rPr>
            </w:pPr>
          </w:p>
        </w:tc>
        <w:tc>
          <w:tcPr>
            <w:tcW w:w="4002" w:type="dxa"/>
          </w:tcPr>
          <w:p w:rsidR="00A53059" w:rsidRPr="00052F64" w:rsidRDefault="00A53059" w:rsidP="00BB3BEF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Major and prolonged computer systems failure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63738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1F5094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The charity has full back up facilities for its systems and has a support contracts for both hardware and software with an independent third party  </w:t>
            </w:r>
          </w:p>
        </w:tc>
        <w:tc>
          <w:tcPr>
            <w:tcW w:w="3827" w:type="dxa"/>
          </w:tcPr>
          <w:p w:rsidR="00A53059" w:rsidRPr="00052F64" w:rsidRDefault="00A53059" w:rsidP="001F5094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56415B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56415B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Annual Reports</w:t>
            </w:r>
          </w:p>
        </w:tc>
        <w:tc>
          <w:tcPr>
            <w:tcW w:w="4002" w:type="dxa"/>
          </w:tcPr>
          <w:p w:rsidR="00A53059" w:rsidRPr="00052F64" w:rsidRDefault="00A53059" w:rsidP="00F14A9A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Compliance with company, taxation and other legislation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F14A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8E0733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The charity closely monitors emerging changes to regulations and legislation on an on-going basis </w:t>
            </w:r>
          </w:p>
        </w:tc>
        <w:tc>
          <w:tcPr>
            <w:tcW w:w="3827" w:type="dxa"/>
          </w:tcPr>
          <w:p w:rsidR="00A53059" w:rsidRPr="00052F64" w:rsidRDefault="00A53059" w:rsidP="008E0733">
            <w:pPr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F14A9A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F14A9A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Management Meetings and review</w:t>
            </w:r>
          </w:p>
        </w:tc>
        <w:tc>
          <w:tcPr>
            <w:tcW w:w="4002" w:type="dxa"/>
          </w:tcPr>
          <w:p w:rsidR="00A53059" w:rsidRPr="00052F64" w:rsidRDefault="00A53059" w:rsidP="00F14A9A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Sponsor’s visit and child protection failure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F14A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Default="00A53059" w:rsidP="00F14A9A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Garda vetting on-going and sponsors are at all times accompanied by a National staff member</w:t>
            </w:r>
          </w:p>
          <w:p w:rsidR="00A53059" w:rsidRPr="00052F64" w:rsidRDefault="00A53059" w:rsidP="00F14A9A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53059" w:rsidRPr="00052F64" w:rsidRDefault="00A53059" w:rsidP="00F14A9A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193DC9"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rFonts w:asciiTheme="minorHAnsi" w:hAnsiTheme="minorHAnsi" w:cstheme="minorHAnsi"/>
                <w:b/>
                <w:sz w:val="20"/>
                <w:szCs w:val="20"/>
              </w:rPr>
              <w:t>Risk Ref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rFonts w:asciiTheme="minorHAnsi" w:hAnsiTheme="minorHAnsi" w:cstheme="minorHAnsi"/>
                <w:b/>
                <w:sz w:val="20"/>
                <w:szCs w:val="20"/>
              </w:rPr>
              <w:t>Strategic and Governance Risks</w:t>
            </w:r>
          </w:p>
        </w:tc>
        <w:tc>
          <w:tcPr>
            <w:tcW w:w="1588" w:type="dxa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Current Rating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(Likelihood and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Consequences)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Mitigation Strategies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Residual Risk</w:t>
            </w: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Annual Reports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The Risk of Fraud or Mismanagement  of funds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The Charity has implemented strong cash control and accounting controls that are regularly reviewed. All areas of work are subject to a high level of supervision by the CEO, Board Sub Committees, external auditor and external grants accountant</w:t>
            </w: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Annual Reports                                     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Risk of an inappropriate strategic decision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  <w:shd w:val="clear" w:color="auto" w:fill="00B05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The charity holds quarterly board meetings when all current strategic issues are discussed. In addition regular finance and grants subcommittee meetings are held. The board is a</w:t>
            </w:r>
            <w:r>
              <w:rPr>
                <w:sz w:val="22"/>
                <w:szCs w:val="22"/>
              </w:rPr>
              <w:t>ctively seeking to recruit</w:t>
            </w:r>
            <w:r w:rsidRPr="00052F64">
              <w:rPr>
                <w:sz w:val="22"/>
                <w:szCs w:val="22"/>
              </w:rPr>
              <w:t xml:space="preserve"> new board members who can bring new expertise and experience to ChildFund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Annual Reports                                      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Risk of poor</w:t>
            </w:r>
            <w:r>
              <w:rPr>
                <w:sz w:val="22"/>
                <w:szCs w:val="22"/>
              </w:rPr>
              <w:t xml:space="preserve"> organisational</w:t>
            </w:r>
            <w:r w:rsidRPr="00052F64">
              <w:rPr>
                <w:sz w:val="22"/>
                <w:szCs w:val="22"/>
              </w:rPr>
              <w:t xml:space="preserve"> programme methodologies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The charity seeks to recruit and retain staff with the appropriate expertise. All program</w:t>
            </w:r>
            <w:r>
              <w:rPr>
                <w:sz w:val="22"/>
                <w:szCs w:val="22"/>
              </w:rPr>
              <w:t>me</w:t>
            </w:r>
            <w:r w:rsidRPr="00052F64">
              <w:rPr>
                <w:sz w:val="22"/>
                <w:szCs w:val="22"/>
              </w:rPr>
              <w:t xml:space="preserve">s are thoroughly examined and subject to review at all level within the organisation  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</w:tr>
      <w:tr w:rsidR="00A53059" w:rsidRPr="00052F64" w:rsidTr="00A53059"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Annual Reports                                    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Loss of key personnel and any resulting loss in core competencies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The charity takes a very proactive approach is keeping all stakeholders, especially employees informed and incentivised at all times. 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ChildFund Charter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Conflict of Interest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Perceived or actual Conflicts of Interest are viewed as one and the same and must be avoided at all cost</w:t>
            </w: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Pr="00052F64" w:rsidRDefault="008B6467" w:rsidP="00A5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53059" w:rsidRPr="00052F64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F64">
              <w:rPr>
                <w:rFonts w:asciiTheme="minorHAnsi" w:hAnsiTheme="minorHAnsi" w:cstheme="minorHAnsi"/>
                <w:b/>
                <w:sz w:val="20"/>
                <w:szCs w:val="20"/>
              </w:rPr>
              <w:t>Risk Ref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52F64">
              <w:rPr>
                <w:rFonts w:asciiTheme="minorHAnsi" w:hAnsiTheme="minorHAnsi" w:cstheme="minorHAnsi"/>
                <w:b/>
                <w:sz w:val="20"/>
                <w:szCs w:val="20"/>
              </w:rPr>
              <w:t>Health Safety &amp; Security Risks</w:t>
            </w:r>
          </w:p>
        </w:tc>
        <w:tc>
          <w:tcPr>
            <w:tcW w:w="1588" w:type="dxa"/>
          </w:tcPr>
          <w:p w:rsidR="00A5305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Current Rating</w:t>
            </w:r>
          </w:p>
          <w:p w:rsidR="008B6467" w:rsidRPr="00D10B39" w:rsidRDefault="008B6467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(Likelihood and Consequences)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Mitigation Strategies</w:t>
            </w:r>
          </w:p>
        </w:tc>
        <w:tc>
          <w:tcPr>
            <w:tcW w:w="3827" w:type="dxa"/>
          </w:tcPr>
          <w:p w:rsidR="00A53059" w:rsidRDefault="008B6467" w:rsidP="00A5305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Residual Risk</w:t>
            </w:r>
          </w:p>
        </w:tc>
      </w:tr>
      <w:tr w:rsidR="00A53059" w:rsidRPr="00052F64" w:rsidTr="00A530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Annual Reports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Compliance with health and safety legislation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The charity closely monitors emerging changes to regulations and legislation on an on-going basis 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jc w:val="center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Board Meetings and review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autoSpaceDE w:val="0"/>
              <w:autoSpaceDN w:val="0"/>
              <w:adjustRightInd w:val="0"/>
            </w:pPr>
            <w:r w:rsidRPr="00052F64">
              <w:rPr>
                <w:sz w:val="22"/>
                <w:szCs w:val="22"/>
              </w:rPr>
              <w:t>Fire in office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Fire extinguishers and alarms available.  Dublin Fire officer reviewed the building and said all was in order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</w:tr>
      <w:tr w:rsidR="00A53059" w:rsidRPr="00052F64" w:rsidTr="00A5305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Management Meetings and review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Break-in to office during office hours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Front office door kept on the latch when office is short staffed or staffed by one member of staff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052F64" w:rsidTr="00A5305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Management Meetings and review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Sponsor’s visit and child protection failure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Garda vetting on-going and sponsors are at all times accompanied by a National staff member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8930C3" w:rsidTr="00A53059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959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 xml:space="preserve">Management Meetings and </w:t>
            </w:r>
          </w:p>
          <w:p w:rsidR="00A53059" w:rsidRPr="00052F64" w:rsidRDefault="00A53059" w:rsidP="00A53059">
            <w:pPr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review</w:t>
            </w:r>
          </w:p>
        </w:tc>
        <w:tc>
          <w:tcPr>
            <w:tcW w:w="4002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Break-in to office after office hours</w:t>
            </w:r>
          </w:p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Pr="00052F64" w:rsidRDefault="00A53059" w:rsidP="00A53059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tabs>
                <w:tab w:val="left" w:pos="501"/>
                <w:tab w:val="center" w:pos="612"/>
              </w:tabs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ab/>
              <w:t>L</w:t>
            </w: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Office alarmed (Smart Co</w:t>
            </w:r>
            <w:r>
              <w:rPr>
                <w:sz w:val="22"/>
                <w:szCs w:val="22"/>
              </w:rPr>
              <w:t>ntrol Alarms reviewed</w:t>
            </w:r>
            <w:r w:rsidRPr="00052F64">
              <w:rPr>
                <w:sz w:val="22"/>
                <w:szCs w:val="22"/>
              </w:rPr>
              <w:t xml:space="preserve"> increase</w:t>
            </w:r>
            <w:r>
              <w:rPr>
                <w:sz w:val="22"/>
                <w:szCs w:val="22"/>
              </w:rPr>
              <w:t>d</w:t>
            </w:r>
            <w:r w:rsidRPr="00052F64">
              <w:rPr>
                <w:sz w:val="22"/>
                <w:szCs w:val="22"/>
              </w:rPr>
              <w:t xml:space="preserve"> the number of</w:t>
            </w:r>
            <w:r>
              <w:rPr>
                <w:sz w:val="22"/>
                <w:szCs w:val="22"/>
              </w:rPr>
              <w:t xml:space="preserve"> office</w:t>
            </w:r>
            <w:r w:rsidRPr="00052F64">
              <w:rPr>
                <w:sz w:val="22"/>
                <w:szCs w:val="22"/>
              </w:rPr>
              <w:t xml:space="preserve"> sensors) each evening and doors doubled locked. Safe double locked.</w:t>
            </w: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  <w:r w:rsidRPr="00052F64">
              <w:rPr>
                <w:sz w:val="22"/>
                <w:szCs w:val="22"/>
              </w:rPr>
              <w:t>Heavy Duty Steel shutters put on CEO’s</w:t>
            </w:r>
            <w:r>
              <w:rPr>
                <w:sz w:val="22"/>
                <w:szCs w:val="22"/>
              </w:rPr>
              <w:t xml:space="preserve"> and SRD’s o</w:t>
            </w:r>
            <w:r w:rsidRPr="00052F64">
              <w:rPr>
                <w:sz w:val="22"/>
                <w:szCs w:val="22"/>
              </w:rPr>
              <w:t>ffice windows’</w:t>
            </w:r>
            <w:r w:rsidRPr="00045088">
              <w:rPr>
                <w:sz w:val="22"/>
                <w:szCs w:val="22"/>
              </w:rPr>
              <w:t xml:space="preserve"> </w:t>
            </w: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8B6467" w:rsidRDefault="008B6467" w:rsidP="00A53059">
            <w:pPr>
              <w:jc w:val="both"/>
              <w:rPr>
                <w:sz w:val="22"/>
                <w:szCs w:val="22"/>
              </w:rPr>
            </w:pP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Default="00A53059" w:rsidP="00A53059">
            <w:pPr>
              <w:jc w:val="both"/>
              <w:rPr>
                <w:sz w:val="22"/>
                <w:szCs w:val="22"/>
              </w:rPr>
            </w:pPr>
          </w:p>
          <w:p w:rsidR="00A53059" w:rsidRPr="008930C3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53059" w:rsidRPr="00052F64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FE6B8D" w:rsidTr="00A53059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377" w:type="dxa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Risk Ref</w:t>
            </w:r>
          </w:p>
        </w:tc>
        <w:tc>
          <w:tcPr>
            <w:tcW w:w="4002" w:type="dxa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Programmatic Risks</w:t>
            </w:r>
          </w:p>
        </w:tc>
        <w:tc>
          <w:tcPr>
            <w:tcW w:w="1588" w:type="dxa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 w:cstheme="minorHAnsi"/>
                <w:b/>
                <w:sz w:val="20"/>
                <w:szCs w:val="20"/>
              </w:rPr>
              <w:t>Current Rating</w:t>
            </w:r>
            <w:r w:rsidR="008B6467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B6467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(Likelihood and Consequences)</w:t>
            </w: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Mitigation Strategies</w:t>
            </w:r>
          </w:p>
        </w:tc>
        <w:tc>
          <w:tcPr>
            <w:tcW w:w="3827" w:type="dxa"/>
          </w:tcPr>
          <w:p w:rsidR="00A53059" w:rsidRDefault="008B6467" w:rsidP="00A5305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Residual Risk</w:t>
            </w:r>
          </w:p>
        </w:tc>
      </w:tr>
      <w:tr w:rsidR="00A53059" w:rsidRPr="00FE6B8D" w:rsidTr="00A530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" w:type="dxa"/>
          </w:tcPr>
          <w:p w:rsidR="00A53059" w:rsidRPr="006F26AF" w:rsidRDefault="00A53059" w:rsidP="00A53059">
            <w:pPr>
              <w:rPr>
                <w:sz w:val="22"/>
                <w:szCs w:val="22"/>
              </w:rPr>
            </w:pPr>
          </w:p>
        </w:tc>
        <w:tc>
          <w:tcPr>
            <w:tcW w:w="2377" w:type="dxa"/>
          </w:tcPr>
          <w:p w:rsidR="00A53059" w:rsidRPr="006F26AF" w:rsidRDefault="00A53059" w:rsidP="00A53059">
            <w:pPr>
              <w:rPr>
                <w:sz w:val="22"/>
                <w:szCs w:val="22"/>
              </w:rPr>
            </w:pPr>
            <w:r w:rsidRPr="006F26AF">
              <w:rPr>
                <w:sz w:val="22"/>
                <w:szCs w:val="22"/>
              </w:rPr>
              <w:t>Irish Aid</w:t>
            </w:r>
          </w:p>
        </w:tc>
        <w:tc>
          <w:tcPr>
            <w:tcW w:w="4002" w:type="dxa"/>
          </w:tcPr>
          <w:p w:rsidR="00A53059" w:rsidRPr="00D10B39" w:rsidRDefault="00A53059" w:rsidP="00A53059">
            <w:pPr>
              <w:jc w:val="both"/>
              <w:rPr>
                <w:b/>
                <w:sz w:val="22"/>
                <w:szCs w:val="22"/>
              </w:rPr>
            </w:pPr>
            <w:r w:rsidRPr="00D10B39">
              <w:rPr>
                <w:b/>
                <w:sz w:val="22"/>
                <w:szCs w:val="22"/>
              </w:rPr>
              <w:t>Resources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D10B39">
              <w:rPr>
                <w:sz w:val="22"/>
                <w:szCs w:val="22"/>
              </w:rPr>
              <w:t>Natural - Intervention causes damage to the environment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• </w:t>
            </w:r>
            <w:r w:rsidRPr="00D10B39">
              <w:rPr>
                <w:sz w:val="22"/>
                <w:szCs w:val="22"/>
              </w:rPr>
              <w:t>Human - Partner unable to hire or retain qualified staff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Documented environmental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management policy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Partner capacity assessment template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Documented capacity building plan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 xml:space="preserve">Strategic Plan 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Operations Plan</w:t>
            </w: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FE6B8D" w:rsidTr="00A53059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959" w:type="dxa"/>
          </w:tcPr>
          <w:p w:rsidR="00A53059" w:rsidRPr="00FE6B8D" w:rsidRDefault="00A53059" w:rsidP="00A530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A53059" w:rsidRPr="00FE6B8D" w:rsidRDefault="00A53059" w:rsidP="00A530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02" w:type="dxa"/>
          </w:tcPr>
          <w:p w:rsidR="00A53059" w:rsidRPr="00D10B39" w:rsidRDefault="00A53059" w:rsidP="00A53059">
            <w:pPr>
              <w:jc w:val="both"/>
              <w:rPr>
                <w:b/>
                <w:sz w:val="22"/>
                <w:szCs w:val="22"/>
              </w:rPr>
            </w:pPr>
            <w:r w:rsidRPr="00D10B39">
              <w:rPr>
                <w:b/>
                <w:sz w:val="22"/>
                <w:szCs w:val="22"/>
              </w:rPr>
              <w:t>Financial &amp; Economical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Financial management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Corruption/Fraud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Procurement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Foreign trade balances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Recession, inflation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Results and Performance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Management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Loss of funding</w:t>
            </w: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 xml:space="preserve">• Annual reports, financial statements 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 xml:space="preserve">• Budgets for current financial year 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 xml:space="preserve">• Financial spot checks during monitoring visits 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Financial Management Policies and Procedures including Procurement Policy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 xml:space="preserve">• Standard fraud clauses in partner agreements/ contracts template 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Nominated officers for safe</w:t>
            </w:r>
            <w:r>
              <w:rPr>
                <w:sz w:val="22"/>
                <w:szCs w:val="22"/>
              </w:rPr>
              <w:t xml:space="preserve"> r</w:t>
            </w:r>
            <w:r w:rsidRPr="00D10B39">
              <w:rPr>
                <w:sz w:val="22"/>
                <w:szCs w:val="22"/>
              </w:rPr>
              <w:t>eporting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Progress reports, field trip reports, monitoring reports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and other data generated from monitoring processes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Evaluation or review reports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FE6B8D" w:rsidTr="00A53059">
        <w:tblPrEx>
          <w:tblLook w:val="04A0" w:firstRow="1" w:lastRow="0" w:firstColumn="1" w:lastColumn="0" w:noHBand="0" w:noVBand="1"/>
        </w:tblPrEx>
        <w:trPr>
          <w:trHeight w:val="1468"/>
        </w:trPr>
        <w:tc>
          <w:tcPr>
            <w:tcW w:w="959" w:type="dxa"/>
          </w:tcPr>
          <w:p w:rsidR="00A53059" w:rsidRPr="00FE6B8D" w:rsidRDefault="00A53059" w:rsidP="00A530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A53059" w:rsidRPr="00FE6B8D" w:rsidRDefault="00A53059" w:rsidP="00A530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02" w:type="dxa"/>
          </w:tcPr>
          <w:p w:rsidR="00A53059" w:rsidRPr="00D10B39" w:rsidRDefault="00A53059" w:rsidP="00A53059">
            <w:pPr>
              <w:jc w:val="both"/>
              <w:rPr>
                <w:b/>
                <w:sz w:val="22"/>
                <w:szCs w:val="22"/>
              </w:rPr>
            </w:pPr>
            <w:r w:rsidRPr="00D10B39">
              <w:rPr>
                <w:b/>
                <w:sz w:val="22"/>
                <w:szCs w:val="22"/>
              </w:rPr>
              <w:t>Security &amp; Safety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Political/Religious/Ethnic conflict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Violent crime, terror, piracy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Natural disasters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Pandemics</w:t>
            </w:r>
          </w:p>
        </w:tc>
        <w:tc>
          <w:tcPr>
            <w:tcW w:w="1588" w:type="dxa"/>
            <w:shd w:val="clear" w:color="auto" w:fill="FFFF00"/>
          </w:tcPr>
          <w:p w:rsidR="00A53059" w:rsidRPr="00D10B39" w:rsidRDefault="00A53059" w:rsidP="00A5305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/>
                <w:b/>
                <w:sz w:val="20"/>
                <w:szCs w:val="20"/>
              </w:rPr>
              <w:t>M</w:t>
            </w: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Safety and security risk management policy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Regular security briefs and alerts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Local security focal points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Safety and security orientated training, learning and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development program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Emergency response (or contingency) planning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Redress measures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S</w:t>
            </w:r>
            <w:r w:rsidRPr="00D10B39">
              <w:rPr>
                <w:sz w:val="22"/>
                <w:szCs w:val="22"/>
              </w:rPr>
              <w:t>elf-regulation towards all applicable codes of conduct and good practice including Communication, IFRC Code of Conduct etc.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  <w:tr w:rsidR="00A53059" w:rsidRPr="00FE6B8D" w:rsidTr="00A53059">
        <w:tblPrEx>
          <w:tblLook w:val="04A0" w:firstRow="1" w:lastRow="0" w:firstColumn="1" w:lastColumn="0" w:noHBand="0" w:noVBand="1"/>
        </w:tblPrEx>
        <w:trPr>
          <w:trHeight w:val="1834"/>
        </w:trPr>
        <w:tc>
          <w:tcPr>
            <w:tcW w:w="959" w:type="dxa"/>
          </w:tcPr>
          <w:p w:rsidR="00A53059" w:rsidRPr="00FE6B8D" w:rsidRDefault="00A53059" w:rsidP="00A530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377" w:type="dxa"/>
          </w:tcPr>
          <w:p w:rsidR="00A53059" w:rsidRPr="00FE6B8D" w:rsidRDefault="00A53059" w:rsidP="00A5305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02" w:type="dxa"/>
          </w:tcPr>
          <w:p w:rsidR="00A53059" w:rsidRDefault="00A53059" w:rsidP="00A53059">
            <w:pPr>
              <w:jc w:val="both"/>
              <w:rPr>
                <w:b/>
                <w:sz w:val="22"/>
                <w:szCs w:val="22"/>
              </w:rPr>
            </w:pPr>
            <w:r w:rsidRPr="00D10B39">
              <w:rPr>
                <w:b/>
                <w:sz w:val="22"/>
                <w:szCs w:val="22"/>
              </w:rPr>
              <w:t>Political &amp; Social</w:t>
            </w:r>
          </w:p>
          <w:p w:rsidR="00A53059" w:rsidRPr="00D10B39" w:rsidRDefault="00A53059" w:rsidP="00A53059">
            <w:pPr>
              <w:jc w:val="both"/>
              <w:rPr>
                <w:b/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Government policies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Partnership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D10B39">
              <w:rPr>
                <w:sz w:val="22"/>
                <w:szCs w:val="22"/>
              </w:rPr>
              <w:t xml:space="preserve"> Rule of law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 Stakeholders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D10B39">
              <w:rPr>
                <w:sz w:val="22"/>
                <w:szCs w:val="22"/>
              </w:rPr>
              <w:t xml:space="preserve"> Gender issues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•</w:t>
            </w:r>
            <w:r w:rsidRPr="00D10B39">
              <w:rPr>
                <w:sz w:val="22"/>
                <w:szCs w:val="22"/>
              </w:rPr>
              <w:t xml:space="preserve"> Rights issues</w:t>
            </w:r>
            <w:r w:rsidRPr="00D10B39">
              <w:rPr>
                <w:sz w:val="22"/>
                <w:szCs w:val="22"/>
              </w:rPr>
              <w:cr/>
            </w:r>
          </w:p>
          <w:p w:rsidR="00A53059" w:rsidRPr="00D10B39" w:rsidRDefault="00A53059" w:rsidP="00A530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88" w:type="dxa"/>
            <w:shd w:val="clear" w:color="auto" w:fill="00B050"/>
          </w:tcPr>
          <w:p w:rsidR="00A53059" w:rsidRPr="00D10B39" w:rsidRDefault="00A53059" w:rsidP="00A53059">
            <w:pPr>
              <w:tabs>
                <w:tab w:val="left" w:pos="501"/>
                <w:tab w:val="center" w:pos="612"/>
              </w:tabs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10B39">
              <w:rPr>
                <w:rFonts w:asciiTheme="minorHAnsi" w:hAnsiTheme="minorHAnsi"/>
                <w:b/>
                <w:sz w:val="20"/>
                <w:szCs w:val="20"/>
              </w:rPr>
              <w:t>L</w:t>
            </w: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Governance policies, i</w:t>
            </w:r>
            <w:r>
              <w:rPr>
                <w:sz w:val="22"/>
                <w:szCs w:val="22"/>
              </w:rPr>
              <w:t>ncluding Risk Management Policy</w:t>
            </w:r>
            <w:r w:rsidRPr="00D10B39">
              <w:rPr>
                <w:sz w:val="22"/>
                <w:szCs w:val="22"/>
              </w:rPr>
              <w:t xml:space="preserve"> etc.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  <w:r w:rsidRPr="00D10B39">
              <w:rPr>
                <w:sz w:val="22"/>
                <w:szCs w:val="22"/>
              </w:rPr>
              <w:t>•</w:t>
            </w:r>
            <w:r>
              <w:rPr>
                <w:sz w:val="22"/>
                <w:szCs w:val="22"/>
              </w:rPr>
              <w:t xml:space="preserve"> </w:t>
            </w:r>
            <w:r w:rsidRPr="00D10B39">
              <w:rPr>
                <w:sz w:val="22"/>
                <w:szCs w:val="22"/>
              </w:rPr>
              <w:t>Maintaining strong communication structures with stakeholders – quarterly stakeholder meetings</w:t>
            </w:r>
          </w:p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827" w:type="dxa"/>
          </w:tcPr>
          <w:p w:rsidR="00A53059" w:rsidRPr="00D10B39" w:rsidRDefault="00A53059" w:rsidP="00A53059">
            <w:pPr>
              <w:jc w:val="both"/>
              <w:rPr>
                <w:sz w:val="22"/>
                <w:szCs w:val="22"/>
              </w:rPr>
            </w:pPr>
          </w:p>
        </w:tc>
      </w:tr>
    </w:tbl>
    <w:p w:rsidR="001C7359" w:rsidRPr="00BB3BEF" w:rsidRDefault="001C7359" w:rsidP="00D755E3">
      <w:pPr>
        <w:rPr>
          <w:rFonts w:asciiTheme="minorHAnsi" w:hAnsiTheme="minorHAnsi" w:cstheme="minorHAnsi"/>
          <w:i/>
          <w:color w:val="1F497D"/>
          <w:sz w:val="17"/>
          <w:szCs w:val="17"/>
          <w:lang w:val="en-IE"/>
        </w:rPr>
      </w:pPr>
    </w:p>
    <w:sectPr w:rsidR="001C7359" w:rsidRPr="00BB3BEF" w:rsidSect="008571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6838" w:h="11906" w:orient="landscape" w:code="9"/>
      <w:pgMar w:top="510" w:right="851" w:bottom="567" w:left="1134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49C" w:rsidRDefault="007B549C">
      <w:r>
        <w:separator/>
      </w:r>
    </w:p>
  </w:endnote>
  <w:endnote w:type="continuationSeparator" w:id="0">
    <w:p w:rsidR="007B549C" w:rsidRDefault="007B5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">
    <w:altName w:val="Corbe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B6" w:rsidRDefault="003E53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6"/>
      <w:gridCol w:w="6161"/>
      <w:gridCol w:w="6952"/>
    </w:tblGrid>
    <w:tr w:rsidR="007F5370" w:rsidTr="00A45BE9">
      <w:tc>
        <w:tcPr>
          <w:tcW w:w="828" w:type="dxa"/>
        </w:tcPr>
        <w:p w:rsidR="007F5370" w:rsidRDefault="007F5370">
          <w:pPr>
            <w:pStyle w:val="Footer"/>
            <w:rPr>
              <w:rFonts w:ascii="Plan" w:hAnsi="Plan"/>
              <w:sz w:val="18"/>
              <w:szCs w:val="18"/>
            </w:rPr>
          </w:pPr>
          <w:r>
            <w:rPr>
              <w:rFonts w:ascii="Plan" w:hAnsi="Plan"/>
              <w:noProof/>
              <w:sz w:val="18"/>
              <w:szCs w:val="18"/>
              <w:lang w:val="en-IE" w:eastAsia="en-IE"/>
            </w:rPr>
            <w:drawing>
              <wp:inline distT="0" distB="0" distL="0" distR="0" wp14:anchorId="3359B911" wp14:editId="141D7DCC">
                <wp:extent cx="1105231" cy="310101"/>
                <wp:effectExtent l="0" t="0" r="0" b="0"/>
                <wp:docPr id="1" name="Picture 1" descr="W:\Administration 2003\Mick Kiely\1 Occasional Folders\Logo\Childfund Ireland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:\Administration 2003\Mick Kiely\1 Occasional Folders\Logo\Childfund Ireland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5349" cy="31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06" w:type="dxa"/>
        </w:tcPr>
        <w:p w:rsidR="007F5370" w:rsidRDefault="007F5370">
          <w:pPr>
            <w:pStyle w:val="Footer"/>
            <w:rPr>
              <w:rFonts w:ascii="Plan" w:hAnsi="Plan"/>
              <w:sz w:val="18"/>
              <w:szCs w:val="18"/>
            </w:rPr>
          </w:pPr>
        </w:p>
      </w:tc>
      <w:tc>
        <w:tcPr>
          <w:tcW w:w="7535" w:type="dxa"/>
        </w:tcPr>
        <w:p w:rsidR="007F5370" w:rsidRPr="000258B8" w:rsidRDefault="007F5370" w:rsidP="000258B8">
          <w:pPr>
            <w:pStyle w:val="Footer"/>
            <w:jc w:val="right"/>
            <w:rPr>
              <w:rFonts w:ascii="Plan" w:hAnsi="Plan"/>
              <w:sz w:val="18"/>
              <w:szCs w:val="18"/>
            </w:rPr>
          </w:pPr>
          <w:r w:rsidRPr="000258B8">
            <w:rPr>
              <w:rFonts w:ascii="Plan" w:hAnsi="Plan"/>
              <w:sz w:val="18"/>
              <w:szCs w:val="18"/>
            </w:rPr>
            <w:t xml:space="preserve">Page </w:t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fldChar w:fldCharType="begin"/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instrText xml:space="preserve"> PAGE </w:instrText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fldChar w:fldCharType="separate"/>
          </w:r>
          <w:r w:rsidR="009D09C7">
            <w:rPr>
              <w:rStyle w:val="PageNumber"/>
              <w:rFonts w:ascii="Plan" w:hAnsi="Plan"/>
              <w:noProof/>
              <w:sz w:val="18"/>
              <w:szCs w:val="18"/>
            </w:rPr>
            <w:t>1</w:t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fldChar w:fldCharType="end"/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t xml:space="preserve"> of </w:t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fldChar w:fldCharType="begin"/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instrText xml:space="preserve"> NUMPAGES </w:instrText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fldChar w:fldCharType="separate"/>
          </w:r>
          <w:r w:rsidR="009D09C7">
            <w:rPr>
              <w:rStyle w:val="PageNumber"/>
              <w:rFonts w:ascii="Plan" w:hAnsi="Plan"/>
              <w:noProof/>
              <w:sz w:val="18"/>
              <w:szCs w:val="18"/>
            </w:rPr>
            <w:t>5</w:t>
          </w:r>
          <w:r w:rsidRPr="000258B8">
            <w:rPr>
              <w:rStyle w:val="PageNumber"/>
              <w:rFonts w:ascii="Plan" w:hAnsi="Plan"/>
              <w:sz w:val="18"/>
              <w:szCs w:val="18"/>
            </w:rPr>
            <w:fldChar w:fldCharType="end"/>
          </w:r>
        </w:p>
      </w:tc>
    </w:tr>
  </w:tbl>
  <w:p w:rsidR="007F5370" w:rsidRPr="00A45BE9" w:rsidRDefault="007F5370" w:rsidP="000258B8">
    <w:pPr>
      <w:pStyle w:val="Footer"/>
      <w:rPr>
        <w:rFonts w:ascii="Plan" w:hAnsi="Plan"/>
        <w:sz w:val="12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B6" w:rsidRDefault="003E53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49C" w:rsidRDefault="007B549C">
      <w:r>
        <w:separator/>
      </w:r>
    </w:p>
  </w:footnote>
  <w:footnote w:type="continuationSeparator" w:id="0">
    <w:p w:rsidR="007B549C" w:rsidRDefault="007B54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B6" w:rsidRDefault="003E53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228"/>
      <w:gridCol w:w="6840"/>
      <w:gridCol w:w="2001"/>
    </w:tblGrid>
    <w:tr w:rsidR="007F5370" w:rsidTr="009F0478">
      <w:tc>
        <w:tcPr>
          <w:tcW w:w="6228" w:type="dxa"/>
        </w:tcPr>
        <w:p w:rsidR="007F5370" w:rsidRPr="0045385E" w:rsidRDefault="007F5370" w:rsidP="0045385E">
          <w:pPr>
            <w:pStyle w:val="Header"/>
            <w:rPr>
              <w:rFonts w:ascii="Plan" w:hAnsi="Plan"/>
              <w:b/>
              <w:sz w:val="22"/>
              <w:szCs w:val="22"/>
            </w:rPr>
          </w:pPr>
          <w:r>
            <w:rPr>
              <w:rFonts w:ascii="Plan" w:hAnsi="Plan"/>
              <w:b/>
              <w:sz w:val="22"/>
              <w:szCs w:val="22"/>
            </w:rPr>
            <w:t xml:space="preserve">Draft </w:t>
          </w:r>
          <w:r w:rsidRPr="001A2BE6">
            <w:rPr>
              <w:rFonts w:ascii="Plan" w:hAnsi="Plan"/>
              <w:b/>
              <w:sz w:val="22"/>
              <w:szCs w:val="22"/>
            </w:rPr>
            <w:t>Risk Register</w:t>
          </w:r>
          <w:r>
            <w:rPr>
              <w:rFonts w:ascii="Plan" w:hAnsi="Plan"/>
              <w:b/>
              <w:sz w:val="22"/>
              <w:szCs w:val="22"/>
            </w:rPr>
            <w:t xml:space="preserve"> to be signed off at next Board Meeting on </w:t>
          </w:r>
          <w:r w:rsidR="003E53B6">
            <w:rPr>
              <w:rFonts w:ascii="Plan" w:hAnsi="Plan"/>
              <w:b/>
              <w:sz w:val="22"/>
              <w:szCs w:val="22"/>
            </w:rPr>
            <w:t>7</w:t>
          </w:r>
          <w:r w:rsidR="003E53B6" w:rsidRPr="003E53B6">
            <w:rPr>
              <w:rFonts w:ascii="Plan" w:hAnsi="Plan"/>
              <w:b/>
              <w:sz w:val="22"/>
              <w:szCs w:val="22"/>
              <w:vertAlign w:val="superscript"/>
            </w:rPr>
            <w:t>th</w:t>
          </w:r>
          <w:r w:rsidR="003E53B6">
            <w:rPr>
              <w:rFonts w:ascii="Plan" w:hAnsi="Plan"/>
              <w:b/>
              <w:sz w:val="22"/>
              <w:szCs w:val="22"/>
            </w:rPr>
            <w:t xml:space="preserve"> Dec 2017</w:t>
          </w:r>
        </w:p>
      </w:tc>
      <w:tc>
        <w:tcPr>
          <w:tcW w:w="6840" w:type="dxa"/>
        </w:tcPr>
        <w:p w:rsidR="007F5370" w:rsidRPr="001A2BE6" w:rsidRDefault="007F5370" w:rsidP="009F0478">
          <w:pPr>
            <w:pStyle w:val="Header"/>
            <w:jc w:val="center"/>
            <w:rPr>
              <w:rFonts w:ascii="Plan" w:hAnsi="Plan"/>
              <w:b/>
              <w:sz w:val="22"/>
              <w:szCs w:val="22"/>
            </w:rPr>
          </w:pPr>
        </w:p>
      </w:tc>
      <w:tc>
        <w:tcPr>
          <w:tcW w:w="2001" w:type="dxa"/>
        </w:tcPr>
        <w:p w:rsidR="008B6467" w:rsidRDefault="003E53B6" w:rsidP="002B741B">
          <w:pPr>
            <w:pStyle w:val="Header"/>
            <w:rPr>
              <w:rFonts w:ascii="Plan" w:hAnsi="Plan"/>
              <w:b/>
              <w:sz w:val="22"/>
              <w:szCs w:val="22"/>
            </w:rPr>
          </w:pPr>
          <w:r>
            <w:rPr>
              <w:rFonts w:ascii="Plan" w:hAnsi="Plan"/>
              <w:b/>
              <w:sz w:val="22"/>
              <w:szCs w:val="22"/>
            </w:rPr>
            <w:t>Following 78th</w:t>
          </w:r>
          <w:r w:rsidR="007F5370">
            <w:rPr>
              <w:rFonts w:ascii="Plan" w:hAnsi="Plan"/>
              <w:b/>
              <w:sz w:val="22"/>
              <w:szCs w:val="22"/>
            </w:rPr>
            <w:t xml:space="preserve"> Board </w:t>
          </w:r>
          <w:r w:rsidR="008B6467">
            <w:rPr>
              <w:rFonts w:ascii="Plan" w:hAnsi="Plan"/>
              <w:b/>
              <w:sz w:val="22"/>
              <w:szCs w:val="22"/>
            </w:rPr>
            <w:t xml:space="preserve">Meeting </w:t>
          </w:r>
        </w:p>
        <w:p w:rsidR="007F5370" w:rsidRPr="001A2BE6" w:rsidRDefault="003E53B6" w:rsidP="002B741B">
          <w:pPr>
            <w:pStyle w:val="Header"/>
            <w:rPr>
              <w:rFonts w:ascii="Plan" w:hAnsi="Plan"/>
              <w:b/>
              <w:sz w:val="22"/>
              <w:szCs w:val="22"/>
            </w:rPr>
          </w:pPr>
          <w:r>
            <w:rPr>
              <w:rFonts w:ascii="Plan" w:hAnsi="Plan"/>
              <w:b/>
              <w:sz w:val="22"/>
              <w:szCs w:val="22"/>
            </w:rPr>
            <w:t>26</w:t>
          </w:r>
          <w:r w:rsidRPr="003E53B6">
            <w:rPr>
              <w:rFonts w:ascii="Plan" w:hAnsi="Plan"/>
              <w:b/>
              <w:sz w:val="22"/>
              <w:szCs w:val="22"/>
              <w:vertAlign w:val="superscript"/>
            </w:rPr>
            <w:t>th</w:t>
          </w:r>
          <w:r>
            <w:rPr>
              <w:rFonts w:ascii="Plan" w:hAnsi="Plan"/>
              <w:b/>
              <w:sz w:val="22"/>
              <w:szCs w:val="22"/>
            </w:rPr>
            <w:t xml:space="preserve"> Oct</w:t>
          </w:r>
          <w:r w:rsidR="008B6467">
            <w:rPr>
              <w:rFonts w:ascii="Plan" w:hAnsi="Plan"/>
              <w:b/>
              <w:sz w:val="22"/>
              <w:szCs w:val="22"/>
            </w:rPr>
            <w:t xml:space="preserve"> </w:t>
          </w:r>
          <w:r w:rsidR="007F5370">
            <w:rPr>
              <w:rFonts w:ascii="Plan" w:hAnsi="Plan"/>
              <w:b/>
              <w:sz w:val="22"/>
              <w:szCs w:val="22"/>
            </w:rPr>
            <w:t>2017</w:t>
          </w:r>
        </w:p>
      </w:tc>
    </w:tr>
  </w:tbl>
  <w:p w:rsidR="007F5370" w:rsidRPr="00A45BE9" w:rsidRDefault="007F5370">
    <w:pPr>
      <w:pStyle w:val="Header"/>
      <w:rPr>
        <w:rFonts w:ascii="Plan" w:hAnsi="Plan"/>
        <w:sz w:val="12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3B6" w:rsidRDefault="003E53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84FD1"/>
    <w:multiLevelType w:val="hybridMultilevel"/>
    <w:tmpl w:val="BB6A66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19527B"/>
    <w:multiLevelType w:val="hybridMultilevel"/>
    <w:tmpl w:val="715EC464"/>
    <w:lvl w:ilvl="0" w:tplc="13F4C75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lan" w:eastAsia="Times New Roman" w:hAnsi="Pl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80B3B6B"/>
    <w:multiLevelType w:val="hybridMultilevel"/>
    <w:tmpl w:val="7F94D4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8C1"/>
    <w:rsid w:val="00000B68"/>
    <w:rsid w:val="00001CAC"/>
    <w:rsid w:val="00010B8C"/>
    <w:rsid w:val="00011776"/>
    <w:rsid w:val="000136CD"/>
    <w:rsid w:val="000218ED"/>
    <w:rsid w:val="000229F9"/>
    <w:rsid w:val="00023E1F"/>
    <w:rsid w:val="00024D5E"/>
    <w:rsid w:val="00025542"/>
    <w:rsid w:val="000258B8"/>
    <w:rsid w:val="00026DA7"/>
    <w:rsid w:val="00031267"/>
    <w:rsid w:val="0003379F"/>
    <w:rsid w:val="00037B18"/>
    <w:rsid w:val="000410DE"/>
    <w:rsid w:val="00041728"/>
    <w:rsid w:val="00042164"/>
    <w:rsid w:val="00045088"/>
    <w:rsid w:val="00050E27"/>
    <w:rsid w:val="00052F64"/>
    <w:rsid w:val="000533D9"/>
    <w:rsid w:val="00057E38"/>
    <w:rsid w:val="00061707"/>
    <w:rsid w:val="0006285F"/>
    <w:rsid w:val="000646A4"/>
    <w:rsid w:val="00066BCE"/>
    <w:rsid w:val="000744C9"/>
    <w:rsid w:val="000758E3"/>
    <w:rsid w:val="00075A33"/>
    <w:rsid w:val="00076CCA"/>
    <w:rsid w:val="00080340"/>
    <w:rsid w:val="000814A0"/>
    <w:rsid w:val="000817E2"/>
    <w:rsid w:val="00085B7A"/>
    <w:rsid w:val="00085F82"/>
    <w:rsid w:val="000875C0"/>
    <w:rsid w:val="00087866"/>
    <w:rsid w:val="00091B5A"/>
    <w:rsid w:val="000931DD"/>
    <w:rsid w:val="000932B0"/>
    <w:rsid w:val="00095B38"/>
    <w:rsid w:val="0009686A"/>
    <w:rsid w:val="000976E6"/>
    <w:rsid w:val="000977B8"/>
    <w:rsid w:val="000A1051"/>
    <w:rsid w:val="000A1FE8"/>
    <w:rsid w:val="000A3184"/>
    <w:rsid w:val="000A73CD"/>
    <w:rsid w:val="000B0C3D"/>
    <w:rsid w:val="000B0CB4"/>
    <w:rsid w:val="000B3B50"/>
    <w:rsid w:val="000C144D"/>
    <w:rsid w:val="000C515A"/>
    <w:rsid w:val="000D13DC"/>
    <w:rsid w:val="000D18CE"/>
    <w:rsid w:val="000E066C"/>
    <w:rsid w:val="000E08C1"/>
    <w:rsid w:val="000E0CC3"/>
    <w:rsid w:val="000E3761"/>
    <w:rsid w:val="000E5DCE"/>
    <w:rsid w:val="000E5EAF"/>
    <w:rsid w:val="000E6DD7"/>
    <w:rsid w:val="000F501A"/>
    <w:rsid w:val="00104D6C"/>
    <w:rsid w:val="00104F82"/>
    <w:rsid w:val="00110748"/>
    <w:rsid w:val="001115E8"/>
    <w:rsid w:val="00112A4D"/>
    <w:rsid w:val="0011686B"/>
    <w:rsid w:val="001277B4"/>
    <w:rsid w:val="00127C2B"/>
    <w:rsid w:val="00127F9D"/>
    <w:rsid w:val="00132462"/>
    <w:rsid w:val="00132959"/>
    <w:rsid w:val="00132A08"/>
    <w:rsid w:val="00132F52"/>
    <w:rsid w:val="00134ED9"/>
    <w:rsid w:val="001368EB"/>
    <w:rsid w:val="00145399"/>
    <w:rsid w:val="001464E1"/>
    <w:rsid w:val="001542CD"/>
    <w:rsid w:val="0015673D"/>
    <w:rsid w:val="0016014F"/>
    <w:rsid w:val="001604E4"/>
    <w:rsid w:val="001634E9"/>
    <w:rsid w:val="001635B0"/>
    <w:rsid w:val="00165D17"/>
    <w:rsid w:val="00173007"/>
    <w:rsid w:val="00173663"/>
    <w:rsid w:val="00182A1C"/>
    <w:rsid w:val="00190D1E"/>
    <w:rsid w:val="0019206B"/>
    <w:rsid w:val="001931D9"/>
    <w:rsid w:val="0019431C"/>
    <w:rsid w:val="00197D76"/>
    <w:rsid w:val="001A1202"/>
    <w:rsid w:val="001A2BE6"/>
    <w:rsid w:val="001A68C1"/>
    <w:rsid w:val="001A7668"/>
    <w:rsid w:val="001B2CA2"/>
    <w:rsid w:val="001C02B7"/>
    <w:rsid w:val="001C1A98"/>
    <w:rsid w:val="001C2462"/>
    <w:rsid w:val="001C5027"/>
    <w:rsid w:val="001C5F54"/>
    <w:rsid w:val="001C66BD"/>
    <w:rsid w:val="001C7359"/>
    <w:rsid w:val="001C77C5"/>
    <w:rsid w:val="001D058C"/>
    <w:rsid w:val="001D109E"/>
    <w:rsid w:val="001D528D"/>
    <w:rsid w:val="001E2384"/>
    <w:rsid w:val="001E4CDD"/>
    <w:rsid w:val="001E5986"/>
    <w:rsid w:val="001E716A"/>
    <w:rsid w:val="001E7AD1"/>
    <w:rsid w:val="001F0E7A"/>
    <w:rsid w:val="001F43A1"/>
    <w:rsid w:val="001F4B9D"/>
    <w:rsid w:val="001F5094"/>
    <w:rsid w:val="001F5326"/>
    <w:rsid w:val="001F6735"/>
    <w:rsid w:val="001F78AB"/>
    <w:rsid w:val="001F7902"/>
    <w:rsid w:val="00201D5E"/>
    <w:rsid w:val="00211122"/>
    <w:rsid w:val="00211E4B"/>
    <w:rsid w:val="00213D4A"/>
    <w:rsid w:val="0021727A"/>
    <w:rsid w:val="002209D5"/>
    <w:rsid w:val="00230269"/>
    <w:rsid w:val="0023071E"/>
    <w:rsid w:val="00232190"/>
    <w:rsid w:val="00233455"/>
    <w:rsid w:val="00233696"/>
    <w:rsid w:val="00237D91"/>
    <w:rsid w:val="002406E6"/>
    <w:rsid w:val="00241CC9"/>
    <w:rsid w:val="0024209F"/>
    <w:rsid w:val="00252B04"/>
    <w:rsid w:val="002546D9"/>
    <w:rsid w:val="00264254"/>
    <w:rsid w:val="0026793D"/>
    <w:rsid w:val="00270876"/>
    <w:rsid w:val="00272FCB"/>
    <w:rsid w:val="00274F22"/>
    <w:rsid w:val="00275C8E"/>
    <w:rsid w:val="0028092D"/>
    <w:rsid w:val="00283A78"/>
    <w:rsid w:val="0029486E"/>
    <w:rsid w:val="00295985"/>
    <w:rsid w:val="002A2DB7"/>
    <w:rsid w:val="002A5866"/>
    <w:rsid w:val="002B2B01"/>
    <w:rsid w:val="002B34FD"/>
    <w:rsid w:val="002B3A22"/>
    <w:rsid w:val="002B46ED"/>
    <w:rsid w:val="002B5538"/>
    <w:rsid w:val="002B741B"/>
    <w:rsid w:val="002C4FB4"/>
    <w:rsid w:val="002C5AD9"/>
    <w:rsid w:val="002C6122"/>
    <w:rsid w:val="002C6C98"/>
    <w:rsid w:val="002C736C"/>
    <w:rsid w:val="002D18D6"/>
    <w:rsid w:val="002D3AD0"/>
    <w:rsid w:val="002E24D6"/>
    <w:rsid w:val="002E3973"/>
    <w:rsid w:val="002E3980"/>
    <w:rsid w:val="002E5089"/>
    <w:rsid w:val="002E71ED"/>
    <w:rsid w:val="002E799B"/>
    <w:rsid w:val="002E7D47"/>
    <w:rsid w:val="002E7ED0"/>
    <w:rsid w:val="002F01BE"/>
    <w:rsid w:val="002F225E"/>
    <w:rsid w:val="002F374E"/>
    <w:rsid w:val="002F4ECE"/>
    <w:rsid w:val="002F7CAC"/>
    <w:rsid w:val="003019D8"/>
    <w:rsid w:val="00302AA6"/>
    <w:rsid w:val="00305C36"/>
    <w:rsid w:val="0030617D"/>
    <w:rsid w:val="00306523"/>
    <w:rsid w:val="00311A79"/>
    <w:rsid w:val="0031236B"/>
    <w:rsid w:val="00312B99"/>
    <w:rsid w:val="00326536"/>
    <w:rsid w:val="00327B71"/>
    <w:rsid w:val="00330638"/>
    <w:rsid w:val="00332EDC"/>
    <w:rsid w:val="003331BA"/>
    <w:rsid w:val="003341F6"/>
    <w:rsid w:val="003361F2"/>
    <w:rsid w:val="00336A17"/>
    <w:rsid w:val="00340B92"/>
    <w:rsid w:val="0034146B"/>
    <w:rsid w:val="003428DE"/>
    <w:rsid w:val="003505C0"/>
    <w:rsid w:val="0035084E"/>
    <w:rsid w:val="003510AD"/>
    <w:rsid w:val="00353866"/>
    <w:rsid w:val="00353C76"/>
    <w:rsid w:val="00355F41"/>
    <w:rsid w:val="003563CD"/>
    <w:rsid w:val="00356E6E"/>
    <w:rsid w:val="00360731"/>
    <w:rsid w:val="003621A4"/>
    <w:rsid w:val="00362A5F"/>
    <w:rsid w:val="003644D8"/>
    <w:rsid w:val="003649F3"/>
    <w:rsid w:val="00370D3E"/>
    <w:rsid w:val="0037245B"/>
    <w:rsid w:val="0037532C"/>
    <w:rsid w:val="003754C3"/>
    <w:rsid w:val="003816FE"/>
    <w:rsid w:val="003857A7"/>
    <w:rsid w:val="003870ED"/>
    <w:rsid w:val="00387AE6"/>
    <w:rsid w:val="00390DCB"/>
    <w:rsid w:val="00391A0F"/>
    <w:rsid w:val="00393AC0"/>
    <w:rsid w:val="003952E4"/>
    <w:rsid w:val="003969BE"/>
    <w:rsid w:val="003A0581"/>
    <w:rsid w:val="003A1942"/>
    <w:rsid w:val="003A32B8"/>
    <w:rsid w:val="003A378F"/>
    <w:rsid w:val="003B73EC"/>
    <w:rsid w:val="003C07BF"/>
    <w:rsid w:val="003C69F9"/>
    <w:rsid w:val="003D7084"/>
    <w:rsid w:val="003D7DEF"/>
    <w:rsid w:val="003E53B6"/>
    <w:rsid w:val="003E619E"/>
    <w:rsid w:val="003E6517"/>
    <w:rsid w:val="003F202A"/>
    <w:rsid w:val="003F2A62"/>
    <w:rsid w:val="003F32CD"/>
    <w:rsid w:val="003F6F09"/>
    <w:rsid w:val="0040068B"/>
    <w:rsid w:val="00404425"/>
    <w:rsid w:val="004104F6"/>
    <w:rsid w:val="00412414"/>
    <w:rsid w:val="00413E2C"/>
    <w:rsid w:val="004143A9"/>
    <w:rsid w:val="004147CC"/>
    <w:rsid w:val="00415812"/>
    <w:rsid w:val="004163FB"/>
    <w:rsid w:val="00427D38"/>
    <w:rsid w:val="00433EA6"/>
    <w:rsid w:val="00437B70"/>
    <w:rsid w:val="00437D1B"/>
    <w:rsid w:val="0044082B"/>
    <w:rsid w:val="00444FDD"/>
    <w:rsid w:val="00446202"/>
    <w:rsid w:val="00447897"/>
    <w:rsid w:val="00452210"/>
    <w:rsid w:val="00452F41"/>
    <w:rsid w:val="0045385E"/>
    <w:rsid w:val="00454BCB"/>
    <w:rsid w:val="00454F16"/>
    <w:rsid w:val="00460EAA"/>
    <w:rsid w:val="00461375"/>
    <w:rsid w:val="00462FE8"/>
    <w:rsid w:val="004641BF"/>
    <w:rsid w:val="00474F66"/>
    <w:rsid w:val="004771C2"/>
    <w:rsid w:val="00481A37"/>
    <w:rsid w:val="00482318"/>
    <w:rsid w:val="004845F5"/>
    <w:rsid w:val="00486039"/>
    <w:rsid w:val="00493389"/>
    <w:rsid w:val="00495219"/>
    <w:rsid w:val="004957AD"/>
    <w:rsid w:val="004968C8"/>
    <w:rsid w:val="004A033C"/>
    <w:rsid w:val="004A540B"/>
    <w:rsid w:val="004A5B8A"/>
    <w:rsid w:val="004A685C"/>
    <w:rsid w:val="004A7CD1"/>
    <w:rsid w:val="004B5380"/>
    <w:rsid w:val="004B7937"/>
    <w:rsid w:val="004C3661"/>
    <w:rsid w:val="004C4AD5"/>
    <w:rsid w:val="004C55A4"/>
    <w:rsid w:val="004C613C"/>
    <w:rsid w:val="004D018D"/>
    <w:rsid w:val="004D71C3"/>
    <w:rsid w:val="004E09E2"/>
    <w:rsid w:val="004E6093"/>
    <w:rsid w:val="004E71A8"/>
    <w:rsid w:val="004F2FB5"/>
    <w:rsid w:val="004F3E81"/>
    <w:rsid w:val="004F416D"/>
    <w:rsid w:val="00501DBB"/>
    <w:rsid w:val="00506594"/>
    <w:rsid w:val="005079AD"/>
    <w:rsid w:val="00507AB8"/>
    <w:rsid w:val="00510614"/>
    <w:rsid w:val="00512D66"/>
    <w:rsid w:val="005134AD"/>
    <w:rsid w:val="00513B28"/>
    <w:rsid w:val="0051441E"/>
    <w:rsid w:val="0051509D"/>
    <w:rsid w:val="00515401"/>
    <w:rsid w:val="00515D86"/>
    <w:rsid w:val="0051602F"/>
    <w:rsid w:val="0052240A"/>
    <w:rsid w:val="00523544"/>
    <w:rsid w:val="005268DF"/>
    <w:rsid w:val="00527AA7"/>
    <w:rsid w:val="005309C8"/>
    <w:rsid w:val="00530B74"/>
    <w:rsid w:val="00532B6B"/>
    <w:rsid w:val="00534139"/>
    <w:rsid w:val="00537D4E"/>
    <w:rsid w:val="00543A33"/>
    <w:rsid w:val="005506CC"/>
    <w:rsid w:val="00550F6C"/>
    <w:rsid w:val="00552360"/>
    <w:rsid w:val="00553620"/>
    <w:rsid w:val="00553FCF"/>
    <w:rsid w:val="00554176"/>
    <w:rsid w:val="0055530C"/>
    <w:rsid w:val="00555EBC"/>
    <w:rsid w:val="00556ABE"/>
    <w:rsid w:val="00557A56"/>
    <w:rsid w:val="00562110"/>
    <w:rsid w:val="00562162"/>
    <w:rsid w:val="00562465"/>
    <w:rsid w:val="00562991"/>
    <w:rsid w:val="00563524"/>
    <w:rsid w:val="00563BD5"/>
    <w:rsid w:val="0056415B"/>
    <w:rsid w:val="00564CC6"/>
    <w:rsid w:val="00566E76"/>
    <w:rsid w:val="005701B2"/>
    <w:rsid w:val="0057335E"/>
    <w:rsid w:val="005751A8"/>
    <w:rsid w:val="0057538B"/>
    <w:rsid w:val="00580469"/>
    <w:rsid w:val="00581486"/>
    <w:rsid w:val="005815B6"/>
    <w:rsid w:val="00585164"/>
    <w:rsid w:val="005865DF"/>
    <w:rsid w:val="00586939"/>
    <w:rsid w:val="00586E0C"/>
    <w:rsid w:val="00591F17"/>
    <w:rsid w:val="005971FE"/>
    <w:rsid w:val="005A72BA"/>
    <w:rsid w:val="005B0C13"/>
    <w:rsid w:val="005B3B17"/>
    <w:rsid w:val="005B3D92"/>
    <w:rsid w:val="005B5A45"/>
    <w:rsid w:val="005B73BA"/>
    <w:rsid w:val="005C187A"/>
    <w:rsid w:val="005C5DFA"/>
    <w:rsid w:val="005C5E0C"/>
    <w:rsid w:val="005C6739"/>
    <w:rsid w:val="005D1C90"/>
    <w:rsid w:val="005D1DDF"/>
    <w:rsid w:val="005D5A14"/>
    <w:rsid w:val="005D73E1"/>
    <w:rsid w:val="005E0F9F"/>
    <w:rsid w:val="005E233C"/>
    <w:rsid w:val="005E34D5"/>
    <w:rsid w:val="005E3610"/>
    <w:rsid w:val="005E487D"/>
    <w:rsid w:val="005E59A6"/>
    <w:rsid w:val="005E66AD"/>
    <w:rsid w:val="00600B60"/>
    <w:rsid w:val="0060422A"/>
    <w:rsid w:val="00605635"/>
    <w:rsid w:val="006212C4"/>
    <w:rsid w:val="00621D19"/>
    <w:rsid w:val="00621D1B"/>
    <w:rsid w:val="00622280"/>
    <w:rsid w:val="006259DE"/>
    <w:rsid w:val="00626B71"/>
    <w:rsid w:val="0063311D"/>
    <w:rsid w:val="0063429F"/>
    <w:rsid w:val="006365BF"/>
    <w:rsid w:val="00637273"/>
    <w:rsid w:val="00637387"/>
    <w:rsid w:val="00637643"/>
    <w:rsid w:val="00637D7D"/>
    <w:rsid w:val="00642472"/>
    <w:rsid w:val="00642E3E"/>
    <w:rsid w:val="006464A8"/>
    <w:rsid w:val="00646A42"/>
    <w:rsid w:val="006470FD"/>
    <w:rsid w:val="006502FD"/>
    <w:rsid w:val="006560ED"/>
    <w:rsid w:val="006611BA"/>
    <w:rsid w:val="00662419"/>
    <w:rsid w:val="0066324F"/>
    <w:rsid w:val="00663501"/>
    <w:rsid w:val="00664026"/>
    <w:rsid w:val="00664A46"/>
    <w:rsid w:val="0066689F"/>
    <w:rsid w:val="00666BF4"/>
    <w:rsid w:val="00666C49"/>
    <w:rsid w:val="00667816"/>
    <w:rsid w:val="00670A19"/>
    <w:rsid w:val="00671EF5"/>
    <w:rsid w:val="0067695B"/>
    <w:rsid w:val="00680B8E"/>
    <w:rsid w:val="00681B27"/>
    <w:rsid w:val="006826D6"/>
    <w:rsid w:val="00683691"/>
    <w:rsid w:val="00686921"/>
    <w:rsid w:val="006871BF"/>
    <w:rsid w:val="00692899"/>
    <w:rsid w:val="0069464C"/>
    <w:rsid w:val="006A00A5"/>
    <w:rsid w:val="006A0729"/>
    <w:rsid w:val="006A072E"/>
    <w:rsid w:val="006A4D97"/>
    <w:rsid w:val="006B1078"/>
    <w:rsid w:val="006B19AD"/>
    <w:rsid w:val="006B1B04"/>
    <w:rsid w:val="006B23DB"/>
    <w:rsid w:val="006B2831"/>
    <w:rsid w:val="006B3FAE"/>
    <w:rsid w:val="006B56AF"/>
    <w:rsid w:val="006B6232"/>
    <w:rsid w:val="006C1245"/>
    <w:rsid w:val="006C398F"/>
    <w:rsid w:val="006C3CF7"/>
    <w:rsid w:val="006C3F79"/>
    <w:rsid w:val="006D03A6"/>
    <w:rsid w:val="006D07DF"/>
    <w:rsid w:val="006D2B5E"/>
    <w:rsid w:val="006D4464"/>
    <w:rsid w:val="006F0176"/>
    <w:rsid w:val="006F111D"/>
    <w:rsid w:val="006F1ABA"/>
    <w:rsid w:val="006F26AF"/>
    <w:rsid w:val="006F28A5"/>
    <w:rsid w:val="006F5A20"/>
    <w:rsid w:val="006F7E03"/>
    <w:rsid w:val="00700D38"/>
    <w:rsid w:val="0070235C"/>
    <w:rsid w:val="00702B89"/>
    <w:rsid w:val="00704A07"/>
    <w:rsid w:val="007054E4"/>
    <w:rsid w:val="007074AF"/>
    <w:rsid w:val="007104A6"/>
    <w:rsid w:val="007105B5"/>
    <w:rsid w:val="007173C3"/>
    <w:rsid w:val="00717BE4"/>
    <w:rsid w:val="007202F8"/>
    <w:rsid w:val="00721AA2"/>
    <w:rsid w:val="00722D20"/>
    <w:rsid w:val="00723483"/>
    <w:rsid w:val="00733758"/>
    <w:rsid w:val="007356B9"/>
    <w:rsid w:val="007366DB"/>
    <w:rsid w:val="00744F16"/>
    <w:rsid w:val="00745D2F"/>
    <w:rsid w:val="007460E4"/>
    <w:rsid w:val="00746228"/>
    <w:rsid w:val="007528B3"/>
    <w:rsid w:val="00752F11"/>
    <w:rsid w:val="00753C7D"/>
    <w:rsid w:val="007543CD"/>
    <w:rsid w:val="00755F2F"/>
    <w:rsid w:val="0076079F"/>
    <w:rsid w:val="00762E1F"/>
    <w:rsid w:val="007657A3"/>
    <w:rsid w:val="007669CB"/>
    <w:rsid w:val="00771019"/>
    <w:rsid w:val="007711D0"/>
    <w:rsid w:val="00772161"/>
    <w:rsid w:val="00773025"/>
    <w:rsid w:val="0077488A"/>
    <w:rsid w:val="0078060C"/>
    <w:rsid w:val="007807CA"/>
    <w:rsid w:val="00790208"/>
    <w:rsid w:val="00795055"/>
    <w:rsid w:val="007A0FF0"/>
    <w:rsid w:val="007A20CC"/>
    <w:rsid w:val="007A62FD"/>
    <w:rsid w:val="007B44E7"/>
    <w:rsid w:val="007B46EE"/>
    <w:rsid w:val="007B549C"/>
    <w:rsid w:val="007B5B1E"/>
    <w:rsid w:val="007B5BA1"/>
    <w:rsid w:val="007C0690"/>
    <w:rsid w:val="007C2817"/>
    <w:rsid w:val="007C5CCF"/>
    <w:rsid w:val="007D06AE"/>
    <w:rsid w:val="007D07FA"/>
    <w:rsid w:val="007D7232"/>
    <w:rsid w:val="007D7BB2"/>
    <w:rsid w:val="007E6D2E"/>
    <w:rsid w:val="007E7A42"/>
    <w:rsid w:val="007F0CF8"/>
    <w:rsid w:val="007F1370"/>
    <w:rsid w:val="007F2DA4"/>
    <w:rsid w:val="007F5370"/>
    <w:rsid w:val="007F55B3"/>
    <w:rsid w:val="00800853"/>
    <w:rsid w:val="00816DC2"/>
    <w:rsid w:val="00817974"/>
    <w:rsid w:val="00820334"/>
    <w:rsid w:val="008214AB"/>
    <w:rsid w:val="00823202"/>
    <w:rsid w:val="00823C69"/>
    <w:rsid w:val="008270B1"/>
    <w:rsid w:val="00827E50"/>
    <w:rsid w:val="00841853"/>
    <w:rsid w:val="0084278B"/>
    <w:rsid w:val="00843ACD"/>
    <w:rsid w:val="00843DD5"/>
    <w:rsid w:val="00847795"/>
    <w:rsid w:val="00850879"/>
    <w:rsid w:val="00851A91"/>
    <w:rsid w:val="00853E4A"/>
    <w:rsid w:val="00855E9D"/>
    <w:rsid w:val="0085715B"/>
    <w:rsid w:val="0085738E"/>
    <w:rsid w:val="00860DAD"/>
    <w:rsid w:val="00863A40"/>
    <w:rsid w:val="00866064"/>
    <w:rsid w:val="00866FBD"/>
    <w:rsid w:val="00867810"/>
    <w:rsid w:val="00871CAC"/>
    <w:rsid w:val="0087415F"/>
    <w:rsid w:val="00876BD3"/>
    <w:rsid w:val="00877B6B"/>
    <w:rsid w:val="0088023A"/>
    <w:rsid w:val="008930C3"/>
    <w:rsid w:val="00895EE7"/>
    <w:rsid w:val="008A45AB"/>
    <w:rsid w:val="008A4AA3"/>
    <w:rsid w:val="008B234D"/>
    <w:rsid w:val="008B34CE"/>
    <w:rsid w:val="008B6467"/>
    <w:rsid w:val="008B64F4"/>
    <w:rsid w:val="008C2D50"/>
    <w:rsid w:val="008C3126"/>
    <w:rsid w:val="008C4450"/>
    <w:rsid w:val="008C5110"/>
    <w:rsid w:val="008C662D"/>
    <w:rsid w:val="008C775D"/>
    <w:rsid w:val="008D76B1"/>
    <w:rsid w:val="008E0733"/>
    <w:rsid w:val="008E16CD"/>
    <w:rsid w:val="008E4080"/>
    <w:rsid w:val="008E5D6E"/>
    <w:rsid w:val="008F0645"/>
    <w:rsid w:val="008F1346"/>
    <w:rsid w:val="008F328D"/>
    <w:rsid w:val="008F4BD9"/>
    <w:rsid w:val="008F535C"/>
    <w:rsid w:val="008F5512"/>
    <w:rsid w:val="008F6867"/>
    <w:rsid w:val="008F7490"/>
    <w:rsid w:val="009020AC"/>
    <w:rsid w:val="0090311E"/>
    <w:rsid w:val="009062C2"/>
    <w:rsid w:val="00912FC6"/>
    <w:rsid w:val="00913F0E"/>
    <w:rsid w:val="00916169"/>
    <w:rsid w:val="009169D7"/>
    <w:rsid w:val="0092244F"/>
    <w:rsid w:val="00923CF6"/>
    <w:rsid w:val="00923E4C"/>
    <w:rsid w:val="00927286"/>
    <w:rsid w:val="009304EE"/>
    <w:rsid w:val="009316B3"/>
    <w:rsid w:val="00932E23"/>
    <w:rsid w:val="0093697C"/>
    <w:rsid w:val="00945291"/>
    <w:rsid w:val="009463DD"/>
    <w:rsid w:val="00947062"/>
    <w:rsid w:val="009474B5"/>
    <w:rsid w:val="0095095E"/>
    <w:rsid w:val="00956B7B"/>
    <w:rsid w:val="00957412"/>
    <w:rsid w:val="00963C5A"/>
    <w:rsid w:val="009652AC"/>
    <w:rsid w:val="009661DD"/>
    <w:rsid w:val="00967811"/>
    <w:rsid w:val="00967A3F"/>
    <w:rsid w:val="00970A2D"/>
    <w:rsid w:val="00971F75"/>
    <w:rsid w:val="00977282"/>
    <w:rsid w:val="00982154"/>
    <w:rsid w:val="00987388"/>
    <w:rsid w:val="00991A93"/>
    <w:rsid w:val="00992B25"/>
    <w:rsid w:val="00993B6E"/>
    <w:rsid w:val="00994BA8"/>
    <w:rsid w:val="00994DF8"/>
    <w:rsid w:val="009974F5"/>
    <w:rsid w:val="009A0828"/>
    <w:rsid w:val="009A2D96"/>
    <w:rsid w:val="009A3EA6"/>
    <w:rsid w:val="009A6B4C"/>
    <w:rsid w:val="009A75BA"/>
    <w:rsid w:val="009B03F2"/>
    <w:rsid w:val="009B2876"/>
    <w:rsid w:val="009B3C1C"/>
    <w:rsid w:val="009B6008"/>
    <w:rsid w:val="009B7DD2"/>
    <w:rsid w:val="009C6BE5"/>
    <w:rsid w:val="009C796A"/>
    <w:rsid w:val="009D09C7"/>
    <w:rsid w:val="009D499C"/>
    <w:rsid w:val="009D49C7"/>
    <w:rsid w:val="009D4E01"/>
    <w:rsid w:val="009D7E6F"/>
    <w:rsid w:val="009E0823"/>
    <w:rsid w:val="009E45B1"/>
    <w:rsid w:val="009E6923"/>
    <w:rsid w:val="009F0478"/>
    <w:rsid w:val="009F0853"/>
    <w:rsid w:val="009F28F6"/>
    <w:rsid w:val="009F431E"/>
    <w:rsid w:val="009F6293"/>
    <w:rsid w:val="009F6AEF"/>
    <w:rsid w:val="009F78A8"/>
    <w:rsid w:val="009F7D1E"/>
    <w:rsid w:val="00A04C5D"/>
    <w:rsid w:val="00A05454"/>
    <w:rsid w:val="00A1134E"/>
    <w:rsid w:val="00A12BDB"/>
    <w:rsid w:val="00A137CF"/>
    <w:rsid w:val="00A16177"/>
    <w:rsid w:val="00A16A86"/>
    <w:rsid w:val="00A20D9E"/>
    <w:rsid w:val="00A23546"/>
    <w:rsid w:val="00A272A3"/>
    <w:rsid w:val="00A2770A"/>
    <w:rsid w:val="00A33638"/>
    <w:rsid w:val="00A353C5"/>
    <w:rsid w:val="00A35FA0"/>
    <w:rsid w:val="00A37A94"/>
    <w:rsid w:val="00A41E5C"/>
    <w:rsid w:val="00A42CAD"/>
    <w:rsid w:val="00A44513"/>
    <w:rsid w:val="00A45BE9"/>
    <w:rsid w:val="00A4657D"/>
    <w:rsid w:val="00A47BD2"/>
    <w:rsid w:val="00A511C4"/>
    <w:rsid w:val="00A51C59"/>
    <w:rsid w:val="00A51EBD"/>
    <w:rsid w:val="00A53059"/>
    <w:rsid w:val="00A55A4F"/>
    <w:rsid w:val="00A61E75"/>
    <w:rsid w:val="00A6656A"/>
    <w:rsid w:val="00A66F89"/>
    <w:rsid w:val="00A671D8"/>
    <w:rsid w:val="00A71478"/>
    <w:rsid w:val="00A732E7"/>
    <w:rsid w:val="00A76507"/>
    <w:rsid w:val="00A84604"/>
    <w:rsid w:val="00A95ED0"/>
    <w:rsid w:val="00A961CB"/>
    <w:rsid w:val="00A9759F"/>
    <w:rsid w:val="00A97897"/>
    <w:rsid w:val="00AA3C09"/>
    <w:rsid w:val="00AA4523"/>
    <w:rsid w:val="00AA4559"/>
    <w:rsid w:val="00AB4AA1"/>
    <w:rsid w:val="00AB4BF5"/>
    <w:rsid w:val="00AC1BF3"/>
    <w:rsid w:val="00AC2A27"/>
    <w:rsid w:val="00AC7637"/>
    <w:rsid w:val="00AD06A2"/>
    <w:rsid w:val="00AD0D4C"/>
    <w:rsid w:val="00AD1064"/>
    <w:rsid w:val="00AD125D"/>
    <w:rsid w:val="00AD3935"/>
    <w:rsid w:val="00AD568C"/>
    <w:rsid w:val="00AD57B5"/>
    <w:rsid w:val="00AD6129"/>
    <w:rsid w:val="00AD62EF"/>
    <w:rsid w:val="00AD7242"/>
    <w:rsid w:val="00AE30DC"/>
    <w:rsid w:val="00AE3444"/>
    <w:rsid w:val="00AE3EB1"/>
    <w:rsid w:val="00AF2469"/>
    <w:rsid w:val="00AF3E0E"/>
    <w:rsid w:val="00B017E6"/>
    <w:rsid w:val="00B02917"/>
    <w:rsid w:val="00B253AB"/>
    <w:rsid w:val="00B259A2"/>
    <w:rsid w:val="00B275CE"/>
    <w:rsid w:val="00B275EC"/>
    <w:rsid w:val="00B279E1"/>
    <w:rsid w:val="00B3350E"/>
    <w:rsid w:val="00B33EAC"/>
    <w:rsid w:val="00B3464E"/>
    <w:rsid w:val="00B36528"/>
    <w:rsid w:val="00B37D2F"/>
    <w:rsid w:val="00B37F22"/>
    <w:rsid w:val="00B40125"/>
    <w:rsid w:val="00B44537"/>
    <w:rsid w:val="00B45488"/>
    <w:rsid w:val="00B56093"/>
    <w:rsid w:val="00B64550"/>
    <w:rsid w:val="00B6568C"/>
    <w:rsid w:val="00B65899"/>
    <w:rsid w:val="00B660D2"/>
    <w:rsid w:val="00B7072E"/>
    <w:rsid w:val="00B80AAF"/>
    <w:rsid w:val="00B81BA3"/>
    <w:rsid w:val="00B81F4D"/>
    <w:rsid w:val="00B84CD6"/>
    <w:rsid w:val="00B86BD1"/>
    <w:rsid w:val="00B875A8"/>
    <w:rsid w:val="00B90BF5"/>
    <w:rsid w:val="00B92A59"/>
    <w:rsid w:val="00BA0AC0"/>
    <w:rsid w:val="00BA3764"/>
    <w:rsid w:val="00BA394F"/>
    <w:rsid w:val="00BA56B7"/>
    <w:rsid w:val="00BA6707"/>
    <w:rsid w:val="00BB136E"/>
    <w:rsid w:val="00BB287D"/>
    <w:rsid w:val="00BB3BEF"/>
    <w:rsid w:val="00BB45D6"/>
    <w:rsid w:val="00BB573C"/>
    <w:rsid w:val="00BB6E0C"/>
    <w:rsid w:val="00BB72F8"/>
    <w:rsid w:val="00BC1E63"/>
    <w:rsid w:val="00BC49E4"/>
    <w:rsid w:val="00BC5D7D"/>
    <w:rsid w:val="00BC5F08"/>
    <w:rsid w:val="00BC6E6A"/>
    <w:rsid w:val="00BC7A2D"/>
    <w:rsid w:val="00BD0C1C"/>
    <w:rsid w:val="00BD2EC0"/>
    <w:rsid w:val="00BD3E84"/>
    <w:rsid w:val="00BD4D22"/>
    <w:rsid w:val="00BE13F3"/>
    <w:rsid w:val="00BE3060"/>
    <w:rsid w:val="00BE3A45"/>
    <w:rsid w:val="00BE5537"/>
    <w:rsid w:val="00BE7E59"/>
    <w:rsid w:val="00BF5DB0"/>
    <w:rsid w:val="00BF6E27"/>
    <w:rsid w:val="00BF7721"/>
    <w:rsid w:val="00C0020B"/>
    <w:rsid w:val="00C003C2"/>
    <w:rsid w:val="00C03CF5"/>
    <w:rsid w:val="00C05F01"/>
    <w:rsid w:val="00C05F10"/>
    <w:rsid w:val="00C21A30"/>
    <w:rsid w:val="00C21A97"/>
    <w:rsid w:val="00C247E4"/>
    <w:rsid w:val="00C32148"/>
    <w:rsid w:val="00C34BE2"/>
    <w:rsid w:val="00C35AC8"/>
    <w:rsid w:val="00C401AD"/>
    <w:rsid w:val="00C40CF0"/>
    <w:rsid w:val="00C40DEE"/>
    <w:rsid w:val="00C44A02"/>
    <w:rsid w:val="00C501C7"/>
    <w:rsid w:val="00C54EE7"/>
    <w:rsid w:val="00C55D81"/>
    <w:rsid w:val="00C569B2"/>
    <w:rsid w:val="00C6022A"/>
    <w:rsid w:val="00C63E58"/>
    <w:rsid w:val="00C64277"/>
    <w:rsid w:val="00C70F28"/>
    <w:rsid w:val="00C75614"/>
    <w:rsid w:val="00C757EB"/>
    <w:rsid w:val="00C757F6"/>
    <w:rsid w:val="00C77D0D"/>
    <w:rsid w:val="00C8119C"/>
    <w:rsid w:val="00C93099"/>
    <w:rsid w:val="00CA0B00"/>
    <w:rsid w:val="00CA312D"/>
    <w:rsid w:val="00CB0AF5"/>
    <w:rsid w:val="00CB3E7B"/>
    <w:rsid w:val="00CB6161"/>
    <w:rsid w:val="00CC0BA4"/>
    <w:rsid w:val="00CC6DB3"/>
    <w:rsid w:val="00CD235E"/>
    <w:rsid w:val="00CD598C"/>
    <w:rsid w:val="00CD6DC7"/>
    <w:rsid w:val="00CE069A"/>
    <w:rsid w:val="00CE210D"/>
    <w:rsid w:val="00CE32C6"/>
    <w:rsid w:val="00CE3C02"/>
    <w:rsid w:val="00CE3C79"/>
    <w:rsid w:val="00CF1040"/>
    <w:rsid w:val="00CF21F1"/>
    <w:rsid w:val="00CF55DD"/>
    <w:rsid w:val="00CF6049"/>
    <w:rsid w:val="00CF666E"/>
    <w:rsid w:val="00D0015B"/>
    <w:rsid w:val="00D01005"/>
    <w:rsid w:val="00D01379"/>
    <w:rsid w:val="00D023EB"/>
    <w:rsid w:val="00D033FD"/>
    <w:rsid w:val="00D03840"/>
    <w:rsid w:val="00D055B4"/>
    <w:rsid w:val="00D1050B"/>
    <w:rsid w:val="00D10B39"/>
    <w:rsid w:val="00D11555"/>
    <w:rsid w:val="00D163C5"/>
    <w:rsid w:val="00D16D4C"/>
    <w:rsid w:val="00D251EE"/>
    <w:rsid w:val="00D26C48"/>
    <w:rsid w:val="00D33DD7"/>
    <w:rsid w:val="00D34376"/>
    <w:rsid w:val="00D353CF"/>
    <w:rsid w:val="00D423CF"/>
    <w:rsid w:val="00D440AB"/>
    <w:rsid w:val="00D441F8"/>
    <w:rsid w:val="00D44519"/>
    <w:rsid w:val="00D47EC6"/>
    <w:rsid w:val="00D51603"/>
    <w:rsid w:val="00D577A1"/>
    <w:rsid w:val="00D62E2A"/>
    <w:rsid w:val="00D715DE"/>
    <w:rsid w:val="00D755E3"/>
    <w:rsid w:val="00D75908"/>
    <w:rsid w:val="00D82E46"/>
    <w:rsid w:val="00D8348E"/>
    <w:rsid w:val="00D86441"/>
    <w:rsid w:val="00D87AA6"/>
    <w:rsid w:val="00D9023D"/>
    <w:rsid w:val="00D93DA7"/>
    <w:rsid w:val="00D945CB"/>
    <w:rsid w:val="00D95356"/>
    <w:rsid w:val="00D96DA9"/>
    <w:rsid w:val="00DA0C9E"/>
    <w:rsid w:val="00DA3B6E"/>
    <w:rsid w:val="00DA4395"/>
    <w:rsid w:val="00DA4A4F"/>
    <w:rsid w:val="00DA4ABE"/>
    <w:rsid w:val="00DA4CA8"/>
    <w:rsid w:val="00DA50F0"/>
    <w:rsid w:val="00DB1BBB"/>
    <w:rsid w:val="00DB2996"/>
    <w:rsid w:val="00DB54A9"/>
    <w:rsid w:val="00DB54FE"/>
    <w:rsid w:val="00DB5E6D"/>
    <w:rsid w:val="00DB7978"/>
    <w:rsid w:val="00DB7A21"/>
    <w:rsid w:val="00DC0054"/>
    <w:rsid w:val="00DC12EA"/>
    <w:rsid w:val="00DC2679"/>
    <w:rsid w:val="00DC3344"/>
    <w:rsid w:val="00DD053E"/>
    <w:rsid w:val="00DD2477"/>
    <w:rsid w:val="00DD2522"/>
    <w:rsid w:val="00DD4009"/>
    <w:rsid w:val="00DE57A6"/>
    <w:rsid w:val="00DE5C0F"/>
    <w:rsid w:val="00DE7CB0"/>
    <w:rsid w:val="00DE7CC7"/>
    <w:rsid w:val="00DF11F0"/>
    <w:rsid w:val="00DF4429"/>
    <w:rsid w:val="00E01CE6"/>
    <w:rsid w:val="00E02DFA"/>
    <w:rsid w:val="00E03385"/>
    <w:rsid w:val="00E045FB"/>
    <w:rsid w:val="00E05427"/>
    <w:rsid w:val="00E1714D"/>
    <w:rsid w:val="00E21F3E"/>
    <w:rsid w:val="00E27083"/>
    <w:rsid w:val="00E31ADE"/>
    <w:rsid w:val="00E33137"/>
    <w:rsid w:val="00E45536"/>
    <w:rsid w:val="00E463E2"/>
    <w:rsid w:val="00E46803"/>
    <w:rsid w:val="00E50798"/>
    <w:rsid w:val="00E52D67"/>
    <w:rsid w:val="00E52EA5"/>
    <w:rsid w:val="00E53072"/>
    <w:rsid w:val="00E61C4F"/>
    <w:rsid w:val="00E631B4"/>
    <w:rsid w:val="00E63366"/>
    <w:rsid w:val="00E63E7D"/>
    <w:rsid w:val="00E64D88"/>
    <w:rsid w:val="00E70933"/>
    <w:rsid w:val="00E719CE"/>
    <w:rsid w:val="00E71EE3"/>
    <w:rsid w:val="00E72188"/>
    <w:rsid w:val="00E72D30"/>
    <w:rsid w:val="00E736E7"/>
    <w:rsid w:val="00E82B24"/>
    <w:rsid w:val="00E85A9C"/>
    <w:rsid w:val="00E9119A"/>
    <w:rsid w:val="00E91917"/>
    <w:rsid w:val="00E91E39"/>
    <w:rsid w:val="00E92728"/>
    <w:rsid w:val="00E93473"/>
    <w:rsid w:val="00E941ED"/>
    <w:rsid w:val="00EA0B50"/>
    <w:rsid w:val="00EB1C8E"/>
    <w:rsid w:val="00EB3535"/>
    <w:rsid w:val="00EB6897"/>
    <w:rsid w:val="00EB714C"/>
    <w:rsid w:val="00EC4298"/>
    <w:rsid w:val="00EC7657"/>
    <w:rsid w:val="00ED004D"/>
    <w:rsid w:val="00ED160B"/>
    <w:rsid w:val="00ED4BDC"/>
    <w:rsid w:val="00ED4BF1"/>
    <w:rsid w:val="00ED56F5"/>
    <w:rsid w:val="00ED6D07"/>
    <w:rsid w:val="00ED7571"/>
    <w:rsid w:val="00EE6CE7"/>
    <w:rsid w:val="00EE6F05"/>
    <w:rsid w:val="00EF2F59"/>
    <w:rsid w:val="00EF34A6"/>
    <w:rsid w:val="00EF4922"/>
    <w:rsid w:val="00EF5F2F"/>
    <w:rsid w:val="00EF701D"/>
    <w:rsid w:val="00F00873"/>
    <w:rsid w:val="00F00A45"/>
    <w:rsid w:val="00F0275D"/>
    <w:rsid w:val="00F03B4A"/>
    <w:rsid w:val="00F046F2"/>
    <w:rsid w:val="00F050F5"/>
    <w:rsid w:val="00F05200"/>
    <w:rsid w:val="00F07624"/>
    <w:rsid w:val="00F1398B"/>
    <w:rsid w:val="00F14A9A"/>
    <w:rsid w:val="00F15071"/>
    <w:rsid w:val="00F20B49"/>
    <w:rsid w:val="00F21707"/>
    <w:rsid w:val="00F245C5"/>
    <w:rsid w:val="00F32174"/>
    <w:rsid w:val="00F35673"/>
    <w:rsid w:val="00F37D84"/>
    <w:rsid w:val="00F411AB"/>
    <w:rsid w:val="00F41BAC"/>
    <w:rsid w:val="00F465E0"/>
    <w:rsid w:val="00F47E80"/>
    <w:rsid w:val="00F51622"/>
    <w:rsid w:val="00F52BF0"/>
    <w:rsid w:val="00F53591"/>
    <w:rsid w:val="00F55E01"/>
    <w:rsid w:val="00F56047"/>
    <w:rsid w:val="00F61BC3"/>
    <w:rsid w:val="00F62675"/>
    <w:rsid w:val="00F62B3E"/>
    <w:rsid w:val="00F632EF"/>
    <w:rsid w:val="00F67589"/>
    <w:rsid w:val="00F67626"/>
    <w:rsid w:val="00F72317"/>
    <w:rsid w:val="00F73CB2"/>
    <w:rsid w:val="00F8112A"/>
    <w:rsid w:val="00F923A4"/>
    <w:rsid w:val="00F97EF2"/>
    <w:rsid w:val="00FA113D"/>
    <w:rsid w:val="00FA1557"/>
    <w:rsid w:val="00FA3F39"/>
    <w:rsid w:val="00FA66A4"/>
    <w:rsid w:val="00FB1741"/>
    <w:rsid w:val="00FB2D68"/>
    <w:rsid w:val="00FB6DAD"/>
    <w:rsid w:val="00FB7292"/>
    <w:rsid w:val="00FC0D32"/>
    <w:rsid w:val="00FC1216"/>
    <w:rsid w:val="00FD1EAF"/>
    <w:rsid w:val="00FD76F1"/>
    <w:rsid w:val="00FD7EA5"/>
    <w:rsid w:val="00FE2216"/>
    <w:rsid w:val="00FE279B"/>
    <w:rsid w:val="00FE2812"/>
    <w:rsid w:val="00FE6BC1"/>
    <w:rsid w:val="00FE78C3"/>
    <w:rsid w:val="00FF0E07"/>
    <w:rsid w:val="00FF2CB9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9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8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58B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2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58B8"/>
  </w:style>
  <w:style w:type="paragraph" w:styleId="BalloonText">
    <w:name w:val="Balloon Text"/>
    <w:basedOn w:val="Normal"/>
    <w:link w:val="BalloonTextChar"/>
    <w:rsid w:val="009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008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853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3E4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5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E4A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C5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C9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58B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258B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25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0258B8"/>
  </w:style>
  <w:style w:type="paragraph" w:styleId="BalloonText">
    <w:name w:val="Balloon Text"/>
    <w:basedOn w:val="Normal"/>
    <w:link w:val="BalloonTextChar"/>
    <w:rsid w:val="009B6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B6008"/>
    <w:rPr>
      <w:rFonts w:ascii="Tahoma" w:hAnsi="Tahoma" w:cs="Tahoma"/>
      <w:sz w:val="16"/>
      <w:szCs w:val="16"/>
      <w:lang w:val="en-GB" w:eastAsia="en-GB"/>
    </w:rPr>
  </w:style>
  <w:style w:type="character" w:styleId="CommentReference">
    <w:name w:val="annotation reference"/>
    <w:basedOn w:val="DefaultParagraphFont"/>
    <w:rsid w:val="00853E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E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53E4A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853E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53E4A"/>
    <w:rPr>
      <w:b/>
      <w:bCs/>
      <w:lang w:val="en-GB" w:eastAsia="en-GB"/>
    </w:rPr>
  </w:style>
  <w:style w:type="paragraph" w:styleId="ListParagraph">
    <w:name w:val="List Paragraph"/>
    <w:basedOn w:val="Normal"/>
    <w:uiPriority w:val="34"/>
    <w:qFormat/>
    <w:rsid w:val="002C5A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I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0F494-A31B-46DF-9E29-AF14B95B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Ref</vt:lpstr>
    </vt:vector>
  </TitlesOfParts>
  <Company>Plan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Ref</dc:title>
  <dc:creator>pcatherine-marie</dc:creator>
  <cp:lastModifiedBy>Elena Lorigan</cp:lastModifiedBy>
  <cp:revision>2</cp:revision>
  <cp:lastPrinted>2017-09-06T14:36:00Z</cp:lastPrinted>
  <dcterms:created xsi:type="dcterms:W3CDTF">2018-02-14T15:20:00Z</dcterms:created>
  <dcterms:modified xsi:type="dcterms:W3CDTF">2018-02-14T15:20:00Z</dcterms:modified>
</cp:coreProperties>
</file>